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2.xml" ContentType="application/vnd.openxmlformats-officedocument.drawingml.chartshapes+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CE" w:rsidRPr="00AD63C3" w:rsidRDefault="00EB52CE" w:rsidP="00254BEE">
      <w:pPr>
        <w:pStyle w:val="NoSpacing"/>
        <w:rPr>
          <w:rFonts w:ascii="Sylfaen" w:hAnsi="Sylfaen"/>
          <w:lang w:val="ka-GE"/>
        </w:rPr>
      </w:pPr>
    </w:p>
    <w:p w:rsidR="00731C77" w:rsidRPr="00586D57" w:rsidRDefault="00731C77" w:rsidP="00254BEE">
      <w:pPr>
        <w:jc w:val="both"/>
      </w:pPr>
    </w:p>
    <w:sdt>
      <w:sdtPr>
        <w:rPr>
          <w:lang w:val="ka-GE"/>
        </w:rPr>
        <w:id w:val="2103844977"/>
        <w:docPartObj>
          <w:docPartGallery w:val="Cover Pages"/>
          <w:docPartUnique/>
        </w:docPartObj>
      </w:sdtPr>
      <w:sdtEndPr/>
      <w:sdtContent>
        <w:p w:rsidR="00EB52CE" w:rsidRPr="00630D10" w:rsidRDefault="00EB52CE" w:rsidP="00254BEE">
          <w:pPr>
            <w:jc w:val="both"/>
            <w:rPr>
              <w:lang w:val="ka-GE"/>
            </w:rPr>
          </w:pPr>
          <w:r w:rsidRPr="00630D10">
            <w:rPr>
              <w:noProof/>
              <w:lang w:val="ka-GE"/>
            </w:rPr>
            <w:t xml:space="preserve"> </w:t>
          </w:r>
        </w:p>
        <w:p w:rsidR="00EB52CE" w:rsidRPr="00630D10" w:rsidRDefault="00EB52CE" w:rsidP="00254BEE">
          <w:pPr>
            <w:jc w:val="both"/>
            <w:rPr>
              <w:b/>
              <w:noProof/>
              <w:sz w:val="56"/>
              <w:lang w:val="ka-GE"/>
            </w:rPr>
          </w:pPr>
        </w:p>
        <w:p w:rsidR="00EB52CE" w:rsidRPr="00630D10" w:rsidRDefault="00046F09" w:rsidP="00254BEE">
          <w:pPr>
            <w:jc w:val="both"/>
            <w:rPr>
              <w:b/>
              <w:noProof/>
              <w:color w:val="1F4E79" w:themeColor="accent1" w:themeShade="80"/>
              <w:sz w:val="72"/>
              <w:lang w:val="ka-GE"/>
            </w:rPr>
          </w:pPr>
          <w:r w:rsidRPr="00630D10">
            <w:rPr>
              <w:noProof/>
            </w:rPr>
            <mc:AlternateContent>
              <mc:Choice Requires="wps">
                <w:drawing>
                  <wp:anchor distT="0" distB="0" distL="114300" distR="114300" simplePos="0" relativeHeight="251660288" behindDoc="0" locked="0" layoutInCell="1" allowOverlap="1" wp14:anchorId="6F2BF2DD" wp14:editId="04110A37">
                    <wp:simplePos x="0" y="0"/>
                    <wp:positionH relativeFrom="page">
                      <wp:posOffset>3926840</wp:posOffset>
                    </wp:positionH>
                    <wp:positionV relativeFrom="paragraph">
                      <wp:posOffset>567055</wp:posOffset>
                    </wp:positionV>
                    <wp:extent cx="6007735" cy="1652905"/>
                    <wp:effectExtent l="5715" t="51435" r="17780" b="36830"/>
                    <wp:wrapNone/>
                    <wp:docPr id="321" name="Isosceles Triangle 320"/>
                    <wp:cNvGraphicFramePr/>
                    <a:graphic xmlns:a="http://schemas.openxmlformats.org/drawingml/2006/main">
                      <a:graphicData uri="http://schemas.microsoft.com/office/word/2010/wordprocessingShape">
                        <wps:wsp>
                          <wps:cNvSpPr/>
                          <wps:spPr>
                            <a:xfrm rot="16200000">
                              <a:off x="0" y="0"/>
                              <a:ext cx="6007735" cy="1652905"/>
                            </a:xfrm>
                            <a:prstGeom prst="triangle">
                              <a:avLst>
                                <a:gd name="adj" fmla="val 12466"/>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2F8C6C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20" o:spid="_x0000_s1026" type="#_x0000_t5" style="position:absolute;margin-left:309.2pt;margin-top:44.65pt;width:473.05pt;height:130.1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" adj="2693" fillcolor="#8496b0 [1951]" strokecolor="#1f4d78 [1604]" strokeweight="1pt">
                    <w10:wrap anchorx="page"/>
                  </v:shape>
                </w:pict>
              </mc:Fallback>
            </mc:AlternateContent>
          </w:r>
          <w:r w:rsidR="00EB52CE" w:rsidRPr="00630D10">
            <w:rPr>
              <w:noProof/>
              <w:color w:val="1F4E79" w:themeColor="accent1" w:themeShade="80"/>
            </w:rPr>
            <mc:AlternateContent>
              <mc:Choice Requires="wps">
                <w:drawing>
                  <wp:anchor distT="0" distB="0" distL="114300" distR="114300" simplePos="0" relativeHeight="251661312" behindDoc="0" locked="0" layoutInCell="1" allowOverlap="1" wp14:anchorId="1CC19243" wp14:editId="4914C33F">
                    <wp:simplePos x="0" y="0"/>
                    <wp:positionH relativeFrom="page">
                      <wp:posOffset>1918985</wp:posOffset>
                    </wp:positionH>
                    <wp:positionV relativeFrom="paragraph">
                      <wp:posOffset>340142</wp:posOffset>
                    </wp:positionV>
                    <wp:extent cx="2263775" cy="6100002"/>
                    <wp:effectExtent l="6033" t="13017" r="0" b="47308"/>
                    <wp:wrapNone/>
                    <wp:docPr id="319" name="Isosceles Triangle 318"/>
                    <wp:cNvGraphicFramePr/>
                    <a:graphic xmlns:a="http://schemas.openxmlformats.org/drawingml/2006/main">
                      <a:graphicData uri="http://schemas.microsoft.com/office/word/2010/wordprocessingShape">
                        <wps:wsp>
                          <wps:cNvSpPr/>
                          <wps:spPr>
                            <a:xfrm rot="5400000">
                              <a:off x="0" y="0"/>
                              <a:ext cx="2263775" cy="6100002"/>
                            </a:xfrm>
                            <a:prstGeom prst="triangle">
                              <a:avLst>
                                <a:gd name="adj" fmla="val 61236"/>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6B2C7979" id="Isosceles Triangle 318" o:spid="_x0000_s1026" type="#_x0000_t5" style="position:absolute;margin-left:151.1pt;margin-top:26.8pt;width:178.25pt;height:480.3pt;rotation:90;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" adj="13227" fillcolor="#2e74b5 [2404]" strokecolor="#1f4d78 [1604]" strokeweight="1pt">
                    <w10:wrap anchorx="page"/>
                  </v:shape>
                </w:pict>
              </mc:Fallback>
            </mc:AlternateContent>
          </w:r>
          <w:r w:rsidR="00EB52CE" w:rsidRPr="00630D10">
            <w:rPr>
              <w:b/>
              <w:noProof/>
              <w:color w:val="1F4E79" w:themeColor="accent1" w:themeShade="80"/>
              <w:sz w:val="72"/>
              <w:lang w:val="ka-GE"/>
            </w:rPr>
            <w:t xml:space="preserve">მიმდინარე ეკონომიკური </w:t>
          </w:r>
        </w:p>
        <w:p w:rsidR="00EB52CE" w:rsidRPr="00630D10" w:rsidRDefault="00EB52CE" w:rsidP="00254BEE">
          <w:pPr>
            <w:jc w:val="both"/>
            <w:rPr>
              <w:b/>
              <w:sz w:val="56"/>
              <w:lang w:val="ka-GE"/>
            </w:rPr>
          </w:pPr>
          <w:r w:rsidRPr="00630D10">
            <w:rPr>
              <w:noProof/>
              <w:color w:val="1F4E79" w:themeColor="accent1" w:themeShade="80"/>
              <w:sz w:val="24"/>
            </w:rPr>
            <mc:AlternateContent>
              <mc:Choice Requires="wps">
                <w:drawing>
                  <wp:anchor distT="45720" distB="45720" distL="114300" distR="114300" simplePos="0" relativeHeight="251664384" behindDoc="0" locked="0" layoutInCell="1" allowOverlap="1" wp14:anchorId="3C93167D" wp14:editId="71D281A3">
                    <wp:simplePos x="0" y="0"/>
                    <wp:positionH relativeFrom="page">
                      <wp:posOffset>5476875</wp:posOffset>
                    </wp:positionH>
                    <wp:positionV relativeFrom="paragraph">
                      <wp:posOffset>4927600</wp:posOffset>
                    </wp:positionV>
                    <wp:extent cx="1952625" cy="57150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571500"/>
                            </a:xfrm>
                            <a:prstGeom prst="rect">
                              <a:avLst/>
                            </a:prstGeom>
                            <a:noFill/>
                            <a:ln w="9525">
                              <a:noFill/>
                              <a:miter lim="800000"/>
                              <a:headEnd/>
                              <a:tailEnd/>
                            </a:ln>
                          </wps:spPr>
                          <wps:txbx>
                            <w:txbxContent>
                              <w:p w:rsidR="00E96ED8" w:rsidRPr="00F74315" w:rsidRDefault="00EB0186" w:rsidP="00EB52CE">
                                <w:pPr>
                                  <w:rPr>
                                    <w:b/>
                                    <w:color w:val="1F4E79" w:themeColor="accent1" w:themeShade="80"/>
                                    <w:sz w:val="32"/>
                                    <w:lang w:val="ka-GE"/>
                                  </w:rPr>
                                </w:pPr>
                                <w:r>
                                  <w:rPr>
                                    <w:b/>
                                    <w:color w:val="1F4E79" w:themeColor="accent1" w:themeShade="80"/>
                                    <w:sz w:val="32"/>
                                    <w:lang w:val="ka-GE"/>
                                  </w:rPr>
                                  <w:t xml:space="preserve">აპრილი, </w:t>
                                </w:r>
                                <w:r w:rsidR="00E96ED8">
                                  <w:rPr>
                                    <w:b/>
                                    <w:color w:val="1F4E79" w:themeColor="accent1" w:themeShade="80"/>
                                    <w:sz w:val="32"/>
                                    <w:lang w:val="ka-GE"/>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3167D" id="_x0000_t202" coordsize="21600,21600" o:spt="202" path="m,l,21600r21600,l21600,xe">
                    <v:stroke joinstyle="miter"/>
                    <v:path gradientshapeok="t" o:connecttype="rect"/>
                  </v:shapetype>
                  <v:shape id="Text Box 2" o:spid="_x0000_s1026" type="#_x0000_t202" style="position:absolute;left:0;text-align:left;margin-left:431.25pt;margin-top:388pt;width:153.75pt;height:4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" filled="f" stroked="f">
                    <v:textbox>
                      <w:txbxContent>
                        <w:p w:rsidR="00E96ED8" w:rsidRPr="00F74315" w:rsidRDefault="00EB0186" w:rsidP="00EB52CE">
                          <w:pPr>
                            <w:rPr>
                              <w:b/>
                              <w:color w:val="1F4E79" w:themeColor="accent1" w:themeShade="80"/>
                              <w:sz w:val="32"/>
                              <w:lang w:val="ka-GE"/>
                            </w:rPr>
                          </w:pPr>
                          <w:r>
                            <w:rPr>
                              <w:b/>
                              <w:color w:val="1F4E79" w:themeColor="accent1" w:themeShade="80"/>
                              <w:sz w:val="32"/>
                              <w:lang w:val="ka-GE"/>
                            </w:rPr>
                            <w:t xml:space="preserve">აპრილი, </w:t>
                          </w:r>
                          <w:r w:rsidR="00E96ED8">
                            <w:rPr>
                              <w:b/>
                              <w:color w:val="1F4E79" w:themeColor="accent1" w:themeShade="80"/>
                              <w:sz w:val="32"/>
                              <w:lang w:val="ka-GE"/>
                            </w:rPr>
                            <w:t>2018</w:t>
                          </w:r>
                        </w:p>
                      </w:txbxContent>
                    </v:textbox>
                    <w10:wrap type="square" anchorx="page"/>
                  </v:shape>
                </w:pict>
              </mc:Fallback>
            </mc:AlternateContent>
          </w:r>
          <w:r w:rsidRPr="00630D10">
            <w:rPr>
              <w:noProof/>
              <w:color w:val="1F4E79" w:themeColor="accent1" w:themeShade="80"/>
            </w:rPr>
            <mc:AlternateContent>
              <mc:Choice Requires="wps">
                <w:drawing>
                  <wp:anchor distT="0" distB="0" distL="114300" distR="114300" simplePos="0" relativeHeight="251662336" behindDoc="0" locked="0" layoutInCell="1" allowOverlap="1" wp14:anchorId="33C44E51" wp14:editId="0CFD35E5">
                    <wp:simplePos x="0" y="0"/>
                    <wp:positionH relativeFrom="page">
                      <wp:posOffset>6689969</wp:posOffset>
                    </wp:positionH>
                    <wp:positionV relativeFrom="paragraph">
                      <wp:posOffset>1887291</wp:posOffset>
                    </wp:positionV>
                    <wp:extent cx="471170" cy="1662618"/>
                    <wp:effectExtent l="71120" t="24130" r="19050" b="19050"/>
                    <wp:wrapNone/>
                    <wp:docPr id="322" name="Isosceles Triangle 321"/>
                    <wp:cNvGraphicFramePr/>
                    <a:graphic xmlns:a="http://schemas.openxmlformats.org/drawingml/2006/main">
                      <a:graphicData uri="http://schemas.microsoft.com/office/word/2010/wordprocessingShape">
                        <wps:wsp>
                          <wps:cNvSpPr/>
                          <wps:spPr>
                            <a:xfrm rot="16200000">
                              <a:off x="0" y="0"/>
                              <a:ext cx="471170" cy="1662618"/>
                            </a:xfrm>
                            <a:prstGeom prst="triangle">
                              <a:avLst>
                                <a:gd name="adj" fmla="val 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7DA3B5E" id="Isosceles Triangle 321" o:spid="_x0000_s1026" type="#_x0000_t5" style="position:absolute;margin-left:526.75pt;margin-top:148.6pt;width:37.1pt;height:130.9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" adj="0" fillcolor="white [3212]" strokecolor="#1f4d78 [1604]" strokeweight="1pt">
                    <w10:wrap anchorx="page"/>
                  </v:shape>
                </w:pict>
              </mc:Fallback>
            </mc:AlternateContent>
          </w:r>
          <w:r w:rsidRPr="00630D10">
            <w:rPr>
              <w:noProof/>
              <w:color w:val="1F4E79" w:themeColor="accent1" w:themeShade="80"/>
              <w:sz w:val="24"/>
            </w:rPr>
            <mc:AlternateContent>
              <mc:Choice Requires="wps">
                <w:drawing>
                  <wp:anchor distT="0" distB="0" distL="114300" distR="114300" simplePos="0" relativeHeight="251659264" behindDoc="0" locked="0" layoutInCell="1" allowOverlap="1" wp14:anchorId="69095C12" wp14:editId="271DFC20">
                    <wp:simplePos x="0" y="0"/>
                    <wp:positionH relativeFrom="margin">
                      <wp:posOffset>194236</wp:posOffset>
                    </wp:positionH>
                    <wp:positionV relativeFrom="bottomMargin">
                      <wp:posOffset>-487045</wp:posOffset>
                    </wp:positionV>
                    <wp:extent cx="7767320" cy="541655"/>
                    <wp:effectExtent l="0" t="0" r="0" b="10795"/>
                    <wp:wrapSquare wrapText="bothSides"/>
                    <wp:docPr id="128" name="Text Box 128"/>
                    <wp:cNvGraphicFramePr/>
                    <a:graphic xmlns:a="http://schemas.openxmlformats.org/drawingml/2006/main">
                      <a:graphicData uri="http://schemas.microsoft.com/office/word/2010/wordprocessingShape">
                        <wps:wsp>
                          <wps:cNvSpPr txBox="1"/>
                          <wps:spPr>
                            <a:xfrm>
                              <a:off x="0" y="0"/>
                              <a:ext cx="7767320" cy="541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D8" w:rsidRPr="00225C67" w:rsidRDefault="00E75BBA" w:rsidP="00EB52CE">
                                <w:pPr>
                                  <w:pStyle w:val="NoSpacing"/>
                                  <w:rPr>
                                    <w:rFonts w:ascii="Sylfaen" w:hAnsi="Sylfaen"/>
                                    <w:b/>
                                    <w:caps/>
                                    <w:color w:val="1F4E79" w:themeColor="accent1" w:themeShade="80"/>
                                    <w:sz w:val="36"/>
                                    <w:szCs w:val="18"/>
                                  </w:rPr>
                                </w:pPr>
                                <w:sdt>
                                  <w:sdtPr>
                                    <w:rPr>
                                      <w:rFonts w:ascii="Sylfaen" w:hAnsi="Sylfaen"/>
                                      <w:b/>
                                      <w:caps/>
                                      <w:color w:val="1F4E79" w:themeColor="accent1" w:themeShade="80"/>
                                      <w:sz w:val="36"/>
                                      <w:szCs w:val="18"/>
                                    </w:rPr>
                                    <w:alias w:val="Company"/>
                                    <w:tag w:val=""/>
                                    <w:id w:val="1430088705"/>
                                    <w:showingPlcHdr/>
                                    <w:dataBinding w:prefixMappings="xmlns:ns0='http://schemas.openxmlformats.org/officeDocument/2006/extended-properties' " w:xpath="/ns0:Properties[1]/ns0:Company[1]" w:storeItemID="{6668398D-A668-4E3E-A5EB-62B293D839F1}"/>
                                    <w:text/>
                                  </w:sdtPr>
                                  <w:sdtEndPr/>
                                  <w:sdtContent>
                                    <w:r w:rsidR="00E96ED8">
                                      <w:rPr>
                                        <w:rFonts w:ascii="Sylfaen" w:hAnsi="Sylfaen"/>
                                        <w:b/>
                                        <w:caps/>
                                        <w:color w:val="1F4E79" w:themeColor="accent1" w:themeShade="80"/>
                                        <w:sz w:val="36"/>
                                        <w:szCs w:val="18"/>
                                      </w:rPr>
                                      <w:t xml:space="preserve">     </w:t>
                                    </w:r>
                                  </w:sdtContent>
                                </w:sdt>
                              </w:p>
                              <w:p w:rsidR="00E96ED8" w:rsidRDefault="00E96ED8" w:rsidP="00EB52CE">
                                <w:pPr>
                                  <w:pStyle w:val="NoSpacing"/>
                                  <w:rPr>
                                    <w:rFonts w:ascii="Sylfaen" w:hAnsi="Sylfaen"/>
                                    <w:b/>
                                    <w:color w:val="7F7F7F" w:themeColor="text1" w:themeTint="80"/>
                                    <w:sz w:val="28"/>
                                    <w:szCs w:val="18"/>
                                    <w:lang w:val="ka-GE"/>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9095C12" id="Text Box 128" o:spid="_x0000_s1027" type="#_x0000_t202" style="position:absolute;left:0;text-align:left;margin-left:15.3pt;margin-top:-38.35pt;width:611.6pt;height:4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" filled="f" stroked="f" strokeweight=".5pt">
                    <v:textbox style="mso-fit-shape-to-text:t" inset="1in,0,86.4pt,0">
                      <w:txbxContent>
                        <w:p w:rsidR="00E96ED8" w:rsidRPr="00225C67" w:rsidRDefault="00E75BBA" w:rsidP="00EB52CE">
                          <w:pPr>
                            <w:pStyle w:val="NoSpacing"/>
                            <w:rPr>
                              <w:rFonts w:ascii="Sylfaen" w:hAnsi="Sylfaen"/>
                              <w:b/>
                              <w:caps/>
                              <w:color w:val="1F4E79" w:themeColor="accent1" w:themeShade="80"/>
                              <w:sz w:val="36"/>
                              <w:szCs w:val="18"/>
                            </w:rPr>
                          </w:pPr>
                          <w:sdt>
                            <w:sdtPr>
                              <w:rPr>
                                <w:rFonts w:ascii="Sylfaen" w:hAnsi="Sylfaen"/>
                                <w:b/>
                                <w:caps/>
                                <w:color w:val="1F4E79" w:themeColor="accent1" w:themeShade="80"/>
                                <w:sz w:val="36"/>
                                <w:szCs w:val="18"/>
                              </w:rPr>
                              <w:alias w:val="Company"/>
                              <w:tag w:val=""/>
                              <w:id w:val="1430088705"/>
                              <w:showingPlcHdr/>
                              <w:dataBinding w:prefixMappings="xmlns:ns0='http://schemas.openxmlformats.org/officeDocument/2006/extended-properties' " w:xpath="/ns0:Properties[1]/ns0:Company[1]" w:storeItemID="{6668398D-A668-4E3E-A5EB-62B293D839F1}"/>
                              <w:text/>
                            </w:sdtPr>
                            <w:sdtEndPr/>
                            <w:sdtContent>
                              <w:r w:rsidR="00E96ED8">
                                <w:rPr>
                                  <w:rFonts w:ascii="Sylfaen" w:hAnsi="Sylfaen"/>
                                  <w:b/>
                                  <w:caps/>
                                  <w:color w:val="1F4E79" w:themeColor="accent1" w:themeShade="80"/>
                                  <w:sz w:val="36"/>
                                  <w:szCs w:val="18"/>
                                </w:rPr>
                                <w:t xml:space="preserve">     </w:t>
                              </w:r>
                            </w:sdtContent>
                          </w:sdt>
                        </w:p>
                        <w:p w:rsidR="00E96ED8" w:rsidRDefault="00E96ED8" w:rsidP="00EB52CE">
                          <w:pPr>
                            <w:pStyle w:val="NoSpacing"/>
                            <w:rPr>
                              <w:rFonts w:ascii="Sylfaen" w:hAnsi="Sylfaen"/>
                              <w:b/>
                              <w:color w:val="7F7F7F" w:themeColor="text1" w:themeTint="80"/>
                              <w:sz w:val="28"/>
                              <w:szCs w:val="18"/>
                              <w:lang w:val="ka-GE"/>
                            </w:rPr>
                          </w:pPr>
                        </w:p>
                      </w:txbxContent>
                    </v:textbox>
                    <w10:wrap type="square" anchorx="margin" anchory="margin"/>
                  </v:shape>
                </w:pict>
              </mc:Fallback>
            </mc:AlternateContent>
          </w:r>
          <w:r w:rsidRPr="00630D10">
            <w:rPr>
              <w:noProof/>
              <w:color w:val="1F4E79" w:themeColor="accent1" w:themeShade="80"/>
            </w:rPr>
            <w:drawing>
              <wp:anchor distT="0" distB="0" distL="114300" distR="114300" simplePos="0" relativeHeight="251663360" behindDoc="0" locked="0" layoutInCell="1" allowOverlap="1" wp14:anchorId="445E2C72" wp14:editId="6BDBDC91">
                <wp:simplePos x="0" y="0"/>
                <wp:positionH relativeFrom="margin">
                  <wp:posOffset>-497840</wp:posOffset>
                </wp:positionH>
                <wp:positionV relativeFrom="page">
                  <wp:posOffset>8186092</wp:posOffset>
                </wp:positionV>
                <wp:extent cx="1242695" cy="1143000"/>
                <wp:effectExtent l="0" t="0" r="0" b="0"/>
                <wp:wrapSquare wrapText="bothSides"/>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695" cy="1143000"/>
                        </a:xfrm>
                        <a:prstGeom prst="rect">
                          <a:avLst/>
                        </a:prstGeom>
                      </pic:spPr>
                    </pic:pic>
                  </a:graphicData>
                </a:graphic>
                <wp14:sizeRelH relativeFrom="margin">
                  <wp14:pctWidth>0</wp14:pctWidth>
                </wp14:sizeRelH>
                <wp14:sizeRelV relativeFrom="margin">
                  <wp14:pctHeight>0</wp14:pctHeight>
                </wp14:sizeRelV>
              </wp:anchor>
            </w:drawing>
          </w:r>
          <w:r w:rsidRPr="00630D10">
            <w:rPr>
              <w:b/>
              <w:noProof/>
              <w:color w:val="1F4E79" w:themeColor="accent1" w:themeShade="80"/>
              <w:sz w:val="72"/>
              <w:lang w:val="ka-GE"/>
            </w:rPr>
            <w:t xml:space="preserve">ტენდენციები </w:t>
          </w:r>
          <w:r w:rsidRPr="00630D10">
            <w:rPr>
              <w:lang w:val="ka-GE"/>
            </w:rPr>
            <w:br w:type="page"/>
          </w:r>
        </w:p>
      </w:sdtContent>
    </w:sdt>
    <w:sdt>
      <w:sdtPr>
        <w:rPr>
          <w:rFonts w:ascii="Sylfaen" w:eastAsia="Sylfaen" w:hAnsi="Sylfaen" w:cs="Sylfaen"/>
          <w:color w:val="000000"/>
          <w:sz w:val="22"/>
          <w:szCs w:val="22"/>
          <w:lang w:val="en-US"/>
          <w14:textFill>
            <w14:solidFill>
              <w14:srgbClr w14:val="000000">
                <w14:lumMod w14:val="50000"/>
              </w14:srgbClr>
            </w14:solidFill>
          </w14:textFill>
        </w:rPr>
        <w:id w:val="-290433691"/>
        <w:docPartObj>
          <w:docPartGallery w:val="Table of Contents"/>
          <w:docPartUnique/>
        </w:docPartObj>
      </w:sdtPr>
      <w:sdtEndPr>
        <w:rPr>
          <w:b/>
          <w:bCs/>
          <w:noProof/>
        </w:rPr>
      </w:sdtEndPr>
      <w:sdtContent>
        <w:p w:rsidR="00EB52CE" w:rsidRPr="00630D10" w:rsidRDefault="00EB52CE" w:rsidP="00254BEE">
          <w:pPr>
            <w:pStyle w:val="TOCHeading"/>
            <w:spacing w:line="240" w:lineRule="auto"/>
            <w:rPr>
              <w:rStyle w:val="Heading1Char"/>
            </w:rPr>
          </w:pPr>
          <w:r w:rsidRPr="00630D10">
            <w:rPr>
              <w:rStyle w:val="Heading1Char"/>
            </w:rPr>
            <w:t>შინაარსი</w:t>
          </w:r>
        </w:p>
        <w:p w:rsidR="00EB52CE" w:rsidRPr="00630D10" w:rsidRDefault="00EB52CE" w:rsidP="00254BEE">
          <w:pPr>
            <w:jc w:val="both"/>
            <w:rPr>
              <w:lang w:val="ka-GE"/>
            </w:rPr>
          </w:pPr>
        </w:p>
        <w:p w:rsidR="00634906" w:rsidRDefault="00EB52CE" w:rsidP="00254BEE">
          <w:pPr>
            <w:pStyle w:val="TOC1"/>
            <w:tabs>
              <w:tab w:val="right" w:leader="dot" w:pos="9350"/>
            </w:tabs>
            <w:rPr>
              <w:rFonts w:asciiTheme="minorHAnsi" w:eastAsiaTheme="minorEastAsia" w:hAnsiTheme="minorHAnsi" w:cstheme="minorBidi"/>
              <w:noProof/>
            </w:rPr>
          </w:pPr>
          <w:r w:rsidRPr="00630D10">
            <w:rPr>
              <w:lang w:val="ka-GE"/>
            </w:rPr>
            <w:fldChar w:fldCharType="begin"/>
          </w:r>
          <w:r w:rsidRPr="00630D10">
            <w:rPr>
              <w:lang w:val="ka-GE"/>
            </w:rPr>
            <w:instrText xml:space="preserve"> TOC \o "1-3" \h \z \u </w:instrText>
          </w:r>
          <w:r w:rsidRPr="00630D10">
            <w:rPr>
              <w:lang w:val="ka-GE"/>
            </w:rPr>
            <w:fldChar w:fldCharType="separate"/>
          </w:r>
          <w:hyperlink w:anchor="_Toc511217313" w:history="1">
            <w:r w:rsidR="00634906" w:rsidRPr="004F4C22">
              <w:rPr>
                <w:rStyle w:val="Hyperlink"/>
                <w:noProof/>
              </w:rPr>
              <w:t>მთლიანი შიდა პროდუქტი</w:t>
            </w:r>
            <w:r w:rsidR="00634906">
              <w:rPr>
                <w:noProof/>
                <w:webHidden/>
              </w:rPr>
              <w:tab/>
            </w:r>
            <w:r w:rsidR="00634906">
              <w:rPr>
                <w:noProof/>
                <w:webHidden/>
              </w:rPr>
              <w:fldChar w:fldCharType="begin"/>
            </w:r>
            <w:r w:rsidR="00634906">
              <w:rPr>
                <w:noProof/>
                <w:webHidden/>
              </w:rPr>
              <w:instrText xml:space="preserve"> PAGEREF _Toc511217313 \h </w:instrText>
            </w:r>
            <w:r w:rsidR="00634906">
              <w:rPr>
                <w:noProof/>
                <w:webHidden/>
              </w:rPr>
            </w:r>
            <w:r w:rsidR="00634906">
              <w:rPr>
                <w:noProof/>
                <w:webHidden/>
              </w:rPr>
              <w:fldChar w:fldCharType="separate"/>
            </w:r>
            <w:r w:rsidR="00634906">
              <w:rPr>
                <w:noProof/>
                <w:webHidden/>
              </w:rPr>
              <w:t>3</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14" w:history="1">
            <w:r w:rsidR="00634906" w:rsidRPr="004F4C22">
              <w:rPr>
                <w:rStyle w:val="Hyperlink"/>
                <w:noProof/>
              </w:rPr>
              <w:t>ეკონომიკური ზრდა საქართველოსა და მეზობელ ქვეყნებში</w:t>
            </w:r>
            <w:r w:rsidR="00634906">
              <w:rPr>
                <w:noProof/>
                <w:webHidden/>
              </w:rPr>
              <w:tab/>
            </w:r>
            <w:r w:rsidR="00634906">
              <w:rPr>
                <w:noProof/>
                <w:webHidden/>
              </w:rPr>
              <w:fldChar w:fldCharType="begin"/>
            </w:r>
            <w:r w:rsidR="00634906">
              <w:rPr>
                <w:noProof/>
                <w:webHidden/>
              </w:rPr>
              <w:instrText xml:space="preserve"> PAGEREF _Toc511217314 \h </w:instrText>
            </w:r>
            <w:r w:rsidR="00634906">
              <w:rPr>
                <w:noProof/>
                <w:webHidden/>
              </w:rPr>
            </w:r>
            <w:r w:rsidR="00634906">
              <w:rPr>
                <w:noProof/>
                <w:webHidden/>
              </w:rPr>
              <w:fldChar w:fldCharType="separate"/>
            </w:r>
            <w:r w:rsidR="00634906">
              <w:rPr>
                <w:noProof/>
                <w:webHidden/>
              </w:rPr>
              <w:t>3</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15" w:history="1">
            <w:r w:rsidR="00634906" w:rsidRPr="004F4C22">
              <w:rPr>
                <w:rStyle w:val="Hyperlink"/>
                <w:noProof/>
              </w:rPr>
              <w:t>ეკონომიკის პოტენციური ზრდის დონე და მთლიანი შიდა პროდუქტის  გეფი</w:t>
            </w:r>
            <w:r w:rsidR="00634906">
              <w:rPr>
                <w:noProof/>
                <w:webHidden/>
              </w:rPr>
              <w:tab/>
            </w:r>
            <w:r w:rsidR="00634906">
              <w:rPr>
                <w:noProof/>
                <w:webHidden/>
              </w:rPr>
              <w:fldChar w:fldCharType="begin"/>
            </w:r>
            <w:r w:rsidR="00634906">
              <w:rPr>
                <w:noProof/>
                <w:webHidden/>
              </w:rPr>
              <w:instrText xml:space="preserve"> PAGEREF _Toc511217315 \h </w:instrText>
            </w:r>
            <w:r w:rsidR="00634906">
              <w:rPr>
                <w:noProof/>
                <w:webHidden/>
              </w:rPr>
            </w:r>
            <w:r w:rsidR="00634906">
              <w:rPr>
                <w:noProof/>
                <w:webHidden/>
              </w:rPr>
              <w:fldChar w:fldCharType="separate"/>
            </w:r>
            <w:r w:rsidR="00634906">
              <w:rPr>
                <w:noProof/>
                <w:webHidden/>
              </w:rPr>
              <w:t>4</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16" w:history="1">
            <w:r w:rsidR="00634906" w:rsidRPr="004F4C22">
              <w:rPr>
                <w:rStyle w:val="Hyperlink"/>
                <w:noProof/>
              </w:rPr>
              <w:t>ფასების დონე</w:t>
            </w:r>
            <w:r w:rsidR="00634906">
              <w:rPr>
                <w:noProof/>
                <w:webHidden/>
              </w:rPr>
              <w:tab/>
            </w:r>
            <w:r w:rsidR="00634906">
              <w:rPr>
                <w:noProof/>
                <w:webHidden/>
              </w:rPr>
              <w:fldChar w:fldCharType="begin"/>
            </w:r>
            <w:r w:rsidR="00634906">
              <w:rPr>
                <w:noProof/>
                <w:webHidden/>
              </w:rPr>
              <w:instrText xml:space="preserve"> PAGEREF _Toc511217316 \h </w:instrText>
            </w:r>
            <w:r w:rsidR="00634906">
              <w:rPr>
                <w:noProof/>
                <w:webHidden/>
              </w:rPr>
            </w:r>
            <w:r w:rsidR="00634906">
              <w:rPr>
                <w:noProof/>
                <w:webHidden/>
              </w:rPr>
              <w:fldChar w:fldCharType="separate"/>
            </w:r>
            <w:r w:rsidR="00634906">
              <w:rPr>
                <w:noProof/>
                <w:webHidden/>
              </w:rPr>
              <w:t>4</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17" w:history="1">
            <w:r w:rsidR="00634906" w:rsidRPr="004F4C22">
              <w:rPr>
                <w:rStyle w:val="Hyperlink"/>
                <w:noProof/>
              </w:rPr>
              <w:t>კერძო სექტორის როლი ეკონომიკურ  ზრდაში</w:t>
            </w:r>
            <w:r w:rsidR="00634906">
              <w:rPr>
                <w:noProof/>
                <w:webHidden/>
              </w:rPr>
              <w:tab/>
            </w:r>
            <w:r w:rsidR="00634906">
              <w:rPr>
                <w:noProof/>
                <w:webHidden/>
              </w:rPr>
              <w:fldChar w:fldCharType="begin"/>
            </w:r>
            <w:r w:rsidR="00634906">
              <w:rPr>
                <w:noProof/>
                <w:webHidden/>
              </w:rPr>
              <w:instrText xml:space="preserve"> PAGEREF _Toc511217317 \h </w:instrText>
            </w:r>
            <w:r w:rsidR="00634906">
              <w:rPr>
                <w:noProof/>
                <w:webHidden/>
              </w:rPr>
            </w:r>
            <w:r w:rsidR="00634906">
              <w:rPr>
                <w:noProof/>
                <w:webHidden/>
              </w:rPr>
              <w:fldChar w:fldCharType="separate"/>
            </w:r>
            <w:r w:rsidR="00634906">
              <w:rPr>
                <w:noProof/>
                <w:webHidden/>
              </w:rPr>
              <w:t>5</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18" w:history="1">
            <w:r w:rsidR="00634906" w:rsidRPr="004F4C22">
              <w:rPr>
                <w:rStyle w:val="Hyperlink"/>
                <w:noProof/>
              </w:rPr>
              <w:t>კერძო სექტორის ეკონომიკური აქტივობა</w:t>
            </w:r>
            <w:r w:rsidR="00634906">
              <w:rPr>
                <w:noProof/>
                <w:webHidden/>
              </w:rPr>
              <w:tab/>
            </w:r>
            <w:r w:rsidR="00634906">
              <w:rPr>
                <w:noProof/>
                <w:webHidden/>
              </w:rPr>
              <w:fldChar w:fldCharType="begin"/>
            </w:r>
            <w:r w:rsidR="00634906">
              <w:rPr>
                <w:noProof/>
                <w:webHidden/>
              </w:rPr>
              <w:instrText xml:space="preserve"> PAGEREF _Toc511217318 \h </w:instrText>
            </w:r>
            <w:r w:rsidR="00634906">
              <w:rPr>
                <w:noProof/>
                <w:webHidden/>
              </w:rPr>
            </w:r>
            <w:r w:rsidR="00634906">
              <w:rPr>
                <w:noProof/>
                <w:webHidden/>
              </w:rPr>
              <w:fldChar w:fldCharType="separate"/>
            </w:r>
            <w:r w:rsidR="00634906">
              <w:rPr>
                <w:noProof/>
                <w:webHidden/>
              </w:rPr>
              <w:t>6</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19" w:history="1">
            <w:r w:rsidR="00634906" w:rsidRPr="004F4C22">
              <w:rPr>
                <w:rStyle w:val="Hyperlink"/>
                <w:noProof/>
              </w:rPr>
              <w:t>საგარეო ვაჭრობა</w:t>
            </w:r>
            <w:r w:rsidR="00634906">
              <w:rPr>
                <w:noProof/>
                <w:webHidden/>
              </w:rPr>
              <w:tab/>
            </w:r>
            <w:r w:rsidR="00634906">
              <w:rPr>
                <w:noProof/>
                <w:webHidden/>
              </w:rPr>
              <w:fldChar w:fldCharType="begin"/>
            </w:r>
            <w:r w:rsidR="00634906">
              <w:rPr>
                <w:noProof/>
                <w:webHidden/>
              </w:rPr>
              <w:instrText xml:space="preserve"> PAGEREF _Toc511217319 \h </w:instrText>
            </w:r>
            <w:r w:rsidR="00634906">
              <w:rPr>
                <w:noProof/>
                <w:webHidden/>
              </w:rPr>
            </w:r>
            <w:r w:rsidR="00634906">
              <w:rPr>
                <w:noProof/>
                <w:webHidden/>
              </w:rPr>
              <w:fldChar w:fldCharType="separate"/>
            </w:r>
            <w:r w:rsidR="00634906">
              <w:rPr>
                <w:noProof/>
                <w:webHidden/>
              </w:rPr>
              <w:t>6</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20" w:history="1">
            <w:r w:rsidR="00634906" w:rsidRPr="004F4C22">
              <w:rPr>
                <w:rStyle w:val="Hyperlink"/>
                <w:noProof/>
              </w:rPr>
              <w:t>ტურიზმი</w:t>
            </w:r>
            <w:r w:rsidR="00634906">
              <w:rPr>
                <w:noProof/>
                <w:webHidden/>
              </w:rPr>
              <w:tab/>
            </w:r>
            <w:r w:rsidR="00634906">
              <w:rPr>
                <w:noProof/>
                <w:webHidden/>
              </w:rPr>
              <w:fldChar w:fldCharType="begin"/>
            </w:r>
            <w:r w:rsidR="00634906">
              <w:rPr>
                <w:noProof/>
                <w:webHidden/>
              </w:rPr>
              <w:instrText xml:space="preserve"> PAGEREF _Toc511217320 \h </w:instrText>
            </w:r>
            <w:r w:rsidR="00634906">
              <w:rPr>
                <w:noProof/>
                <w:webHidden/>
              </w:rPr>
            </w:r>
            <w:r w:rsidR="00634906">
              <w:rPr>
                <w:noProof/>
                <w:webHidden/>
              </w:rPr>
              <w:fldChar w:fldCharType="separate"/>
            </w:r>
            <w:r w:rsidR="00634906">
              <w:rPr>
                <w:noProof/>
                <w:webHidden/>
              </w:rPr>
              <w:t>7</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21" w:history="1">
            <w:r w:rsidR="00634906" w:rsidRPr="004F4C22">
              <w:rPr>
                <w:rStyle w:val="Hyperlink"/>
                <w:noProof/>
              </w:rPr>
              <w:t>პირდაპირი  უცხოური ინვესტიციები</w:t>
            </w:r>
            <w:r w:rsidR="00634906">
              <w:rPr>
                <w:noProof/>
                <w:webHidden/>
              </w:rPr>
              <w:tab/>
            </w:r>
            <w:r w:rsidR="00634906">
              <w:rPr>
                <w:noProof/>
                <w:webHidden/>
              </w:rPr>
              <w:fldChar w:fldCharType="begin"/>
            </w:r>
            <w:r w:rsidR="00634906">
              <w:rPr>
                <w:noProof/>
                <w:webHidden/>
              </w:rPr>
              <w:instrText xml:space="preserve"> PAGEREF _Toc511217321 \h </w:instrText>
            </w:r>
            <w:r w:rsidR="00634906">
              <w:rPr>
                <w:noProof/>
                <w:webHidden/>
              </w:rPr>
            </w:r>
            <w:r w:rsidR="00634906">
              <w:rPr>
                <w:noProof/>
                <w:webHidden/>
              </w:rPr>
              <w:fldChar w:fldCharType="separate"/>
            </w:r>
            <w:r w:rsidR="00634906">
              <w:rPr>
                <w:noProof/>
                <w:webHidden/>
              </w:rPr>
              <w:t>9</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22" w:history="1">
            <w:r w:rsidR="00634906" w:rsidRPr="004F4C22">
              <w:rPr>
                <w:rStyle w:val="Hyperlink"/>
                <w:noProof/>
              </w:rPr>
              <w:t>ფულადი გზავნილები</w:t>
            </w:r>
            <w:r w:rsidR="00634906">
              <w:rPr>
                <w:noProof/>
                <w:webHidden/>
              </w:rPr>
              <w:tab/>
            </w:r>
            <w:r w:rsidR="00634906">
              <w:rPr>
                <w:noProof/>
                <w:webHidden/>
              </w:rPr>
              <w:fldChar w:fldCharType="begin"/>
            </w:r>
            <w:r w:rsidR="00634906">
              <w:rPr>
                <w:noProof/>
                <w:webHidden/>
              </w:rPr>
              <w:instrText xml:space="preserve"> PAGEREF _Toc511217322 \h </w:instrText>
            </w:r>
            <w:r w:rsidR="00634906">
              <w:rPr>
                <w:noProof/>
                <w:webHidden/>
              </w:rPr>
            </w:r>
            <w:r w:rsidR="00634906">
              <w:rPr>
                <w:noProof/>
                <w:webHidden/>
              </w:rPr>
              <w:fldChar w:fldCharType="separate"/>
            </w:r>
            <w:r w:rsidR="00634906">
              <w:rPr>
                <w:noProof/>
                <w:webHidden/>
              </w:rPr>
              <w:t>10</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23" w:history="1">
            <w:r w:rsidR="00634906" w:rsidRPr="004F4C22">
              <w:rPr>
                <w:rStyle w:val="Hyperlink"/>
                <w:noProof/>
              </w:rPr>
              <w:t>მიმდინარე  ანგარიშის ბალანსი</w:t>
            </w:r>
            <w:r w:rsidR="00634906">
              <w:rPr>
                <w:noProof/>
                <w:webHidden/>
              </w:rPr>
              <w:tab/>
            </w:r>
            <w:r w:rsidR="00634906">
              <w:rPr>
                <w:noProof/>
                <w:webHidden/>
              </w:rPr>
              <w:fldChar w:fldCharType="begin"/>
            </w:r>
            <w:r w:rsidR="00634906">
              <w:rPr>
                <w:noProof/>
                <w:webHidden/>
              </w:rPr>
              <w:instrText xml:space="preserve"> PAGEREF _Toc511217323 \h </w:instrText>
            </w:r>
            <w:r w:rsidR="00634906">
              <w:rPr>
                <w:noProof/>
                <w:webHidden/>
              </w:rPr>
            </w:r>
            <w:r w:rsidR="00634906">
              <w:rPr>
                <w:noProof/>
                <w:webHidden/>
              </w:rPr>
              <w:fldChar w:fldCharType="separate"/>
            </w:r>
            <w:r w:rsidR="00634906">
              <w:rPr>
                <w:noProof/>
                <w:webHidden/>
              </w:rPr>
              <w:t>11</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24" w:history="1">
            <w:r w:rsidR="00634906" w:rsidRPr="004F4C22">
              <w:rPr>
                <w:rStyle w:val="Hyperlink"/>
                <w:noProof/>
              </w:rPr>
              <w:t>საკრედიტო  რეიტინგები</w:t>
            </w:r>
            <w:r w:rsidR="00634906">
              <w:rPr>
                <w:noProof/>
                <w:webHidden/>
              </w:rPr>
              <w:tab/>
            </w:r>
            <w:r w:rsidR="00634906">
              <w:rPr>
                <w:noProof/>
                <w:webHidden/>
              </w:rPr>
              <w:fldChar w:fldCharType="begin"/>
            </w:r>
            <w:r w:rsidR="00634906">
              <w:rPr>
                <w:noProof/>
                <w:webHidden/>
              </w:rPr>
              <w:instrText xml:space="preserve"> PAGEREF _Toc511217324 \h </w:instrText>
            </w:r>
            <w:r w:rsidR="00634906">
              <w:rPr>
                <w:noProof/>
                <w:webHidden/>
              </w:rPr>
            </w:r>
            <w:r w:rsidR="00634906">
              <w:rPr>
                <w:noProof/>
                <w:webHidden/>
              </w:rPr>
              <w:fldChar w:fldCharType="separate"/>
            </w:r>
            <w:r w:rsidR="00634906">
              <w:rPr>
                <w:noProof/>
                <w:webHidden/>
              </w:rPr>
              <w:t>11</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25" w:history="1">
            <w:r w:rsidR="00634906" w:rsidRPr="004F4C22">
              <w:rPr>
                <w:rStyle w:val="Hyperlink"/>
                <w:noProof/>
              </w:rPr>
              <w:t>უმუშევრობის დონე</w:t>
            </w:r>
            <w:r w:rsidR="00634906">
              <w:rPr>
                <w:noProof/>
                <w:webHidden/>
              </w:rPr>
              <w:tab/>
            </w:r>
            <w:r w:rsidR="00634906">
              <w:rPr>
                <w:noProof/>
                <w:webHidden/>
              </w:rPr>
              <w:fldChar w:fldCharType="begin"/>
            </w:r>
            <w:r w:rsidR="00634906">
              <w:rPr>
                <w:noProof/>
                <w:webHidden/>
              </w:rPr>
              <w:instrText xml:space="preserve"> PAGEREF _Toc511217325 \h </w:instrText>
            </w:r>
            <w:r w:rsidR="00634906">
              <w:rPr>
                <w:noProof/>
                <w:webHidden/>
              </w:rPr>
            </w:r>
            <w:r w:rsidR="00634906">
              <w:rPr>
                <w:noProof/>
                <w:webHidden/>
              </w:rPr>
              <w:fldChar w:fldCharType="separate"/>
            </w:r>
            <w:r w:rsidR="00634906">
              <w:rPr>
                <w:noProof/>
                <w:webHidden/>
              </w:rPr>
              <w:t>12</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26" w:history="1">
            <w:r w:rsidR="00634906" w:rsidRPr="004F4C22">
              <w:rPr>
                <w:rStyle w:val="Hyperlink"/>
                <w:noProof/>
              </w:rPr>
              <w:t>ლარიზაცია</w:t>
            </w:r>
            <w:r w:rsidR="00634906">
              <w:rPr>
                <w:noProof/>
                <w:webHidden/>
              </w:rPr>
              <w:tab/>
            </w:r>
            <w:r w:rsidR="00634906">
              <w:rPr>
                <w:noProof/>
                <w:webHidden/>
              </w:rPr>
              <w:fldChar w:fldCharType="begin"/>
            </w:r>
            <w:r w:rsidR="00634906">
              <w:rPr>
                <w:noProof/>
                <w:webHidden/>
              </w:rPr>
              <w:instrText xml:space="preserve"> PAGEREF _Toc511217326 \h </w:instrText>
            </w:r>
            <w:r w:rsidR="00634906">
              <w:rPr>
                <w:noProof/>
                <w:webHidden/>
              </w:rPr>
            </w:r>
            <w:r w:rsidR="00634906">
              <w:rPr>
                <w:noProof/>
                <w:webHidden/>
              </w:rPr>
              <w:fldChar w:fldCharType="separate"/>
            </w:r>
            <w:r w:rsidR="00634906">
              <w:rPr>
                <w:noProof/>
                <w:webHidden/>
              </w:rPr>
              <w:t>12</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28" w:history="1">
            <w:r w:rsidR="00634906" w:rsidRPr="004F4C22">
              <w:rPr>
                <w:rStyle w:val="Hyperlink"/>
                <w:noProof/>
              </w:rPr>
              <w:t>საერთაშორისო სავალუტო ფონდთან თანამშრომლობა</w:t>
            </w:r>
            <w:r w:rsidR="00634906">
              <w:rPr>
                <w:noProof/>
                <w:webHidden/>
              </w:rPr>
              <w:tab/>
            </w:r>
            <w:r w:rsidR="00634906">
              <w:rPr>
                <w:noProof/>
                <w:webHidden/>
              </w:rPr>
              <w:fldChar w:fldCharType="begin"/>
            </w:r>
            <w:r w:rsidR="00634906">
              <w:rPr>
                <w:noProof/>
                <w:webHidden/>
              </w:rPr>
              <w:instrText xml:space="preserve"> PAGEREF _Toc511217328 \h </w:instrText>
            </w:r>
            <w:r w:rsidR="00634906">
              <w:rPr>
                <w:noProof/>
                <w:webHidden/>
              </w:rPr>
            </w:r>
            <w:r w:rsidR="00634906">
              <w:rPr>
                <w:noProof/>
                <w:webHidden/>
              </w:rPr>
              <w:fldChar w:fldCharType="separate"/>
            </w:r>
            <w:r w:rsidR="00634906">
              <w:rPr>
                <w:noProof/>
                <w:webHidden/>
              </w:rPr>
              <w:t>13</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29" w:history="1">
            <w:r w:rsidR="00634906" w:rsidRPr="004F4C22">
              <w:rPr>
                <w:rStyle w:val="Hyperlink"/>
                <w:noProof/>
              </w:rPr>
              <w:t>საქართველო საერთაშორისო რეიტინგებში</w:t>
            </w:r>
            <w:r w:rsidR="00634906">
              <w:rPr>
                <w:noProof/>
                <w:webHidden/>
              </w:rPr>
              <w:tab/>
            </w:r>
            <w:r w:rsidR="00634906">
              <w:rPr>
                <w:noProof/>
                <w:webHidden/>
              </w:rPr>
              <w:fldChar w:fldCharType="begin"/>
            </w:r>
            <w:r w:rsidR="00634906">
              <w:rPr>
                <w:noProof/>
                <w:webHidden/>
              </w:rPr>
              <w:instrText xml:space="preserve"> PAGEREF _Toc511217329 \h </w:instrText>
            </w:r>
            <w:r w:rsidR="00634906">
              <w:rPr>
                <w:noProof/>
                <w:webHidden/>
              </w:rPr>
            </w:r>
            <w:r w:rsidR="00634906">
              <w:rPr>
                <w:noProof/>
                <w:webHidden/>
              </w:rPr>
              <w:fldChar w:fldCharType="separate"/>
            </w:r>
            <w:r w:rsidR="00634906">
              <w:rPr>
                <w:noProof/>
                <w:webHidden/>
              </w:rPr>
              <w:t>13</w:t>
            </w:r>
            <w:r w:rsidR="00634906">
              <w:rPr>
                <w:noProof/>
                <w:webHidden/>
              </w:rPr>
              <w:fldChar w:fldCharType="end"/>
            </w:r>
          </w:hyperlink>
        </w:p>
        <w:p w:rsidR="00634906" w:rsidRDefault="00E75BBA" w:rsidP="00254BEE">
          <w:pPr>
            <w:pStyle w:val="TOC1"/>
            <w:tabs>
              <w:tab w:val="right" w:leader="dot" w:pos="9350"/>
            </w:tabs>
            <w:rPr>
              <w:rFonts w:asciiTheme="minorHAnsi" w:eastAsiaTheme="minorEastAsia" w:hAnsiTheme="minorHAnsi" w:cstheme="minorBidi"/>
              <w:noProof/>
            </w:rPr>
          </w:pPr>
          <w:hyperlink w:anchor="_Toc511217330" w:history="1">
            <w:r w:rsidR="00634906" w:rsidRPr="004F4C22">
              <w:rPr>
                <w:rStyle w:val="Hyperlink"/>
                <w:noProof/>
              </w:rPr>
              <w:t>საერთაშორისო ღონისძიებები საქართველოში</w:t>
            </w:r>
            <w:r w:rsidR="00634906">
              <w:rPr>
                <w:noProof/>
                <w:webHidden/>
              </w:rPr>
              <w:tab/>
            </w:r>
            <w:r w:rsidR="00634906">
              <w:rPr>
                <w:noProof/>
                <w:webHidden/>
              </w:rPr>
              <w:fldChar w:fldCharType="begin"/>
            </w:r>
            <w:r w:rsidR="00634906">
              <w:rPr>
                <w:noProof/>
                <w:webHidden/>
              </w:rPr>
              <w:instrText xml:space="preserve"> PAGEREF _Toc511217330 \h </w:instrText>
            </w:r>
            <w:r w:rsidR="00634906">
              <w:rPr>
                <w:noProof/>
                <w:webHidden/>
              </w:rPr>
            </w:r>
            <w:r w:rsidR="00634906">
              <w:rPr>
                <w:noProof/>
                <w:webHidden/>
              </w:rPr>
              <w:fldChar w:fldCharType="separate"/>
            </w:r>
            <w:r w:rsidR="00634906">
              <w:rPr>
                <w:noProof/>
                <w:webHidden/>
              </w:rPr>
              <w:t>14</w:t>
            </w:r>
            <w:r w:rsidR="00634906">
              <w:rPr>
                <w:noProof/>
                <w:webHidden/>
              </w:rPr>
              <w:fldChar w:fldCharType="end"/>
            </w:r>
          </w:hyperlink>
        </w:p>
        <w:p w:rsidR="00EB52CE" w:rsidRPr="00630D10" w:rsidRDefault="00EB52CE" w:rsidP="00254BEE">
          <w:pPr>
            <w:jc w:val="both"/>
            <w:rPr>
              <w:lang w:val="ka-GE"/>
            </w:rPr>
          </w:pPr>
          <w:r w:rsidRPr="00630D10">
            <w:rPr>
              <w:b/>
              <w:bCs/>
              <w:noProof/>
              <w:lang w:val="ka-GE"/>
            </w:rPr>
            <w:fldChar w:fldCharType="end"/>
          </w:r>
        </w:p>
      </w:sdtContent>
    </w:sdt>
    <w:p w:rsidR="00EB52CE" w:rsidRPr="00630D10" w:rsidRDefault="00EB52CE" w:rsidP="00254BEE">
      <w:pPr>
        <w:widowControl/>
        <w:spacing w:after="160"/>
        <w:rPr>
          <w:lang w:val="ka-GE"/>
        </w:rPr>
      </w:pPr>
    </w:p>
    <w:p w:rsidR="00EB52CE" w:rsidRPr="00630D10" w:rsidRDefault="00EB52CE" w:rsidP="00254BEE">
      <w:pPr>
        <w:widowControl/>
        <w:spacing w:after="160"/>
        <w:rPr>
          <w:b/>
          <w:bCs/>
          <w:sz w:val="28"/>
          <w:lang w:val="ka-GE"/>
        </w:rPr>
      </w:pPr>
      <w:r w:rsidRPr="00630D10">
        <w:rPr>
          <w:b/>
          <w:bCs/>
          <w:sz w:val="28"/>
          <w:lang w:val="ka-GE"/>
        </w:rPr>
        <w:br w:type="page"/>
      </w:r>
    </w:p>
    <w:p w:rsidR="00EB52CE" w:rsidRPr="00630D10" w:rsidRDefault="00EB52CE" w:rsidP="00254BEE">
      <w:pPr>
        <w:pStyle w:val="Heading1"/>
        <w:spacing w:line="240" w:lineRule="auto"/>
      </w:pPr>
      <w:bookmarkStart w:id="0" w:name="_Toc511217313"/>
      <w:r w:rsidRPr="00630D10">
        <w:t>მთლიანი შიდა პროდუქტი</w:t>
      </w:r>
      <w:bookmarkEnd w:id="0"/>
    </w:p>
    <w:p w:rsidR="002C3155" w:rsidRDefault="002C3155" w:rsidP="00254BEE">
      <w:pPr>
        <w:pStyle w:val="BodyText"/>
        <w:tabs>
          <w:tab w:val="decimal" w:pos="90"/>
          <w:tab w:val="decimal" w:pos="2430"/>
        </w:tabs>
        <w:jc w:val="both"/>
        <w:rPr>
          <w:b/>
          <w:lang w:val="ka-GE"/>
        </w:rPr>
      </w:pPr>
    </w:p>
    <w:p w:rsidR="00EB52CE" w:rsidRPr="00BD5FD1" w:rsidRDefault="00EB52CE" w:rsidP="00254BEE">
      <w:pPr>
        <w:pStyle w:val="BodyText"/>
        <w:tabs>
          <w:tab w:val="decimal" w:pos="90"/>
          <w:tab w:val="decimal" w:pos="2430"/>
        </w:tabs>
        <w:jc w:val="both"/>
        <w:rPr>
          <w:lang w:val="ka-GE"/>
        </w:rPr>
      </w:pPr>
      <w:r w:rsidRPr="002D502E">
        <w:rPr>
          <w:b/>
          <w:lang w:val="ka-GE"/>
        </w:rPr>
        <w:t xml:space="preserve">2017 წელს საქართველოში </w:t>
      </w:r>
      <w:r w:rsidR="00722DA2" w:rsidRPr="002D502E">
        <w:rPr>
          <w:b/>
          <w:lang w:val="ka-GE"/>
        </w:rPr>
        <w:t xml:space="preserve">მოსალოდნელზე </w:t>
      </w:r>
      <w:r w:rsidRPr="002D502E">
        <w:rPr>
          <w:b/>
          <w:lang w:val="ka-GE"/>
        </w:rPr>
        <w:t>მაღალი ეკონომიკური ზრდა დაფიქსირდა</w:t>
      </w:r>
      <w:r w:rsidR="00634BBD">
        <w:rPr>
          <w:b/>
        </w:rPr>
        <w:t xml:space="preserve"> </w:t>
      </w:r>
      <w:r w:rsidR="00634BBD">
        <w:rPr>
          <w:b/>
          <w:lang w:val="ka-GE"/>
        </w:rPr>
        <w:t>და</w:t>
      </w:r>
      <w:r w:rsidR="00D74D5C">
        <w:rPr>
          <w:b/>
          <w:lang w:val="ka-GE"/>
        </w:rPr>
        <w:t xml:space="preserve"> მთლიანი შიდა პროდუქტის სა</w:t>
      </w:r>
      <w:r w:rsidRPr="002D502E">
        <w:rPr>
          <w:b/>
          <w:lang w:val="ka-GE"/>
        </w:rPr>
        <w:t xml:space="preserve">შუალო </w:t>
      </w:r>
      <w:r w:rsidR="00D74D5C">
        <w:rPr>
          <w:b/>
          <w:lang w:val="ka-GE"/>
        </w:rPr>
        <w:t>ზრდამ</w:t>
      </w:r>
      <w:r w:rsidRPr="002D502E">
        <w:rPr>
          <w:b/>
          <w:lang w:val="ka-GE"/>
        </w:rPr>
        <w:t xml:space="preserve"> </w:t>
      </w:r>
      <w:r w:rsidR="003624B4">
        <w:rPr>
          <w:b/>
        </w:rPr>
        <w:t xml:space="preserve">5.0 </w:t>
      </w:r>
      <w:r w:rsidRPr="002D502E">
        <w:rPr>
          <w:b/>
          <w:lang w:val="ka-GE"/>
        </w:rPr>
        <w:t>პროცენტი შეადგინა.</w:t>
      </w:r>
      <w:r w:rsidRPr="00630D10">
        <w:rPr>
          <w:lang w:val="ka-GE"/>
        </w:rPr>
        <w:t xml:space="preserve">  2017 წლის I კვარტალში ეკონომიკა</w:t>
      </w:r>
      <w:r>
        <w:rPr>
          <w:lang w:val="ka-GE"/>
        </w:rPr>
        <w:t xml:space="preserve"> - 5.3 პროცენტით</w:t>
      </w:r>
      <w:r w:rsidRPr="00630D10">
        <w:rPr>
          <w:lang w:val="ka-GE"/>
        </w:rPr>
        <w:t>, II კვარტალში</w:t>
      </w:r>
      <w:r>
        <w:rPr>
          <w:lang w:val="ka-GE"/>
        </w:rPr>
        <w:t xml:space="preserve"> - 4.9 პროცენტ</w:t>
      </w:r>
      <w:r w:rsidRPr="00630D10">
        <w:rPr>
          <w:lang w:val="ka-GE"/>
        </w:rPr>
        <w:t>ით, III კვარტალში</w:t>
      </w:r>
      <w:r>
        <w:rPr>
          <w:lang w:val="ka-GE"/>
        </w:rPr>
        <w:t xml:space="preserve"> 4.4 პროცენტ</w:t>
      </w:r>
      <w:r w:rsidRPr="00630D10">
        <w:rPr>
          <w:lang w:val="ka-GE"/>
        </w:rPr>
        <w:t xml:space="preserve">ით, ხოლო IV კვარტალში </w:t>
      </w:r>
      <w:r>
        <w:rPr>
          <w:lang w:val="ka-GE"/>
        </w:rPr>
        <w:t xml:space="preserve"> </w:t>
      </w:r>
      <w:r w:rsidR="00055CA5">
        <w:rPr>
          <w:lang w:val="ka-GE"/>
        </w:rPr>
        <w:t>5.4</w:t>
      </w:r>
      <w:r>
        <w:rPr>
          <w:lang w:val="ka-GE"/>
        </w:rPr>
        <w:t xml:space="preserve"> პროცენტ</w:t>
      </w:r>
      <w:r w:rsidRPr="00630D10">
        <w:rPr>
          <w:lang w:val="ka-GE"/>
        </w:rPr>
        <w:t xml:space="preserve">ით  გაიზარდა.  </w:t>
      </w:r>
      <w:r w:rsidR="00AB4F00">
        <w:rPr>
          <w:lang w:val="ka-GE"/>
        </w:rPr>
        <w:t xml:space="preserve">წინასწარი შეფასებით, ნომინალურმა </w:t>
      </w:r>
      <w:proofErr w:type="spellStart"/>
      <w:r w:rsidR="00AB4F00">
        <w:rPr>
          <w:lang w:val="ka-GE"/>
        </w:rPr>
        <w:t>მშპ</w:t>
      </w:r>
      <w:proofErr w:type="spellEnd"/>
      <w:r w:rsidR="00AB4F00">
        <w:rPr>
          <w:lang w:val="ka-GE"/>
        </w:rPr>
        <w:t>-მ 2017 წელს 3</w:t>
      </w:r>
      <w:r w:rsidR="00055CA5">
        <w:rPr>
          <w:lang w:val="ka-GE"/>
        </w:rPr>
        <w:t>8</w:t>
      </w:r>
      <w:r w:rsidR="00AB4F00">
        <w:rPr>
          <w:lang w:val="ka-GE"/>
        </w:rPr>
        <w:t>.</w:t>
      </w:r>
      <w:r w:rsidR="00055CA5">
        <w:rPr>
          <w:lang w:val="ka-GE"/>
        </w:rPr>
        <w:t>0</w:t>
      </w:r>
      <w:r w:rsidR="00AB4F00">
        <w:rPr>
          <w:lang w:val="ka-GE"/>
        </w:rPr>
        <w:t xml:space="preserve"> მილიარდი ლარი</w:t>
      </w:r>
      <w:r w:rsidR="00E57CE9">
        <w:rPr>
          <w:lang w:val="ka-GE"/>
        </w:rPr>
        <w:t>, ხოლო</w:t>
      </w:r>
      <w:r w:rsidR="00E5316E">
        <w:rPr>
          <w:lang w:val="ka-GE"/>
        </w:rPr>
        <w:t xml:space="preserve"> ერთ სულ მოსახლეზე </w:t>
      </w:r>
      <w:r w:rsidR="00E57CE9">
        <w:rPr>
          <w:lang w:val="ka-GE"/>
        </w:rPr>
        <w:t xml:space="preserve">10 </w:t>
      </w:r>
      <w:r w:rsidR="001162EA">
        <w:t>231</w:t>
      </w:r>
      <w:r w:rsidR="00E57CE9">
        <w:rPr>
          <w:lang w:val="ka-GE"/>
        </w:rPr>
        <w:t xml:space="preserve"> ლარი</w:t>
      </w:r>
      <w:r w:rsidR="00D74D5C">
        <w:rPr>
          <w:lang w:val="ka-GE"/>
        </w:rPr>
        <w:t xml:space="preserve"> შეადგინა</w:t>
      </w:r>
      <w:r w:rsidR="00E57CE9">
        <w:rPr>
          <w:lang w:val="ka-GE"/>
        </w:rPr>
        <w:t xml:space="preserve">. </w:t>
      </w:r>
    </w:p>
    <w:p w:rsidR="00FE0F7D" w:rsidRPr="00630D10" w:rsidRDefault="009B3005" w:rsidP="00254BEE">
      <w:pPr>
        <w:pStyle w:val="BodyText"/>
        <w:tabs>
          <w:tab w:val="decimal" w:pos="90"/>
          <w:tab w:val="decimal" w:pos="2430"/>
        </w:tabs>
        <w:jc w:val="both"/>
        <w:rPr>
          <w:lang w:val="ka-GE"/>
        </w:rPr>
      </w:pPr>
      <w:r>
        <w:rPr>
          <w:b/>
          <w:lang w:val="ka-GE"/>
        </w:rPr>
        <w:t xml:space="preserve">წინასწარი შეფასებით, </w:t>
      </w:r>
      <w:r w:rsidRPr="002D502E">
        <w:rPr>
          <w:b/>
          <w:lang w:val="ka-GE"/>
        </w:rPr>
        <w:t>2018 წლის იანვარში  ეკონომიკ</w:t>
      </w:r>
      <w:r w:rsidR="00D74D5C">
        <w:rPr>
          <w:b/>
          <w:lang w:val="ka-GE"/>
        </w:rPr>
        <w:t xml:space="preserve">ა </w:t>
      </w:r>
      <w:r w:rsidRPr="002D502E">
        <w:rPr>
          <w:b/>
          <w:lang w:val="ka-GE"/>
        </w:rPr>
        <w:t>4.4 პროცენტი</w:t>
      </w:r>
      <w:r w:rsidR="00D74D5C">
        <w:rPr>
          <w:b/>
          <w:lang w:val="ka-GE"/>
        </w:rPr>
        <w:t>თ</w:t>
      </w:r>
      <w:r w:rsidR="001162EA">
        <w:rPr>
          <w:b/>
        </w:rPr>
        <w:t xml:space="preserve">, </w:t>
      </w:r>
      <w:r w:rsidR="001162EA">
        <w:rPr>
          <w:b/>
          <w:lang w:val="ka-GE"/>
        </w:rPr>
        <w:t>ხოლო თებერვალში 5.5 პროცენტით</w:t>
      </w:r>
      <w:r w:rsidR="00D74D5C">
        <w:rPr>
          <w:b/>
          <w:lang w:val="ka-GE"/>
        </w:rPr>
        <w:t xml:space="preserve"> გაიზარდა</w:t>
      </w:r>
      <w:r w:rsidR="001162EA">
        <w:rPr>
          <w:b/>
          <w:lang w:val="ka-GE"/>
        </w:rPr>
        <w:t xml:space="preserve"> და იანვარ-თებე</w:t>
      </w:r>
      <w:r w:rsidR="002902AC">
        <w:rPr>
          <w:b/>
          <w:lang w:val="ka-GE"/>
        </w:rPr>
        <w:t>რ</w:t>
      </w:r>
      <w:r w:rsidR="001162EA">
        <w:rPr>
          <w:b/>
          <w:lang w:val="ka-GE"/>
        </w:rPr>
        <w:t>ვლის საშუალო ზრდამ</w:t>
      </w:r>
      <w:r w:rsidR="002902AC">
        <w:rPr>
          <w:b/>
          <w:lang w:val="ka-GE"/>
        </w:rPr>
        <w:t xml:space="preserve"> 4.9 პროცენტი შეადგინა</w:t>
      </w:r>
      <w:r>
        <w:rPr>
          <w:b/>
        </w:rPr>
        <w:t>.</w:t>
      </w:r>
      <w:r w:rsidRPr="00B74DFF">
        <w:rPr>
          <w:lang w:val="ka-GE"/>
        </w:rPr>
        <w:t xml:space="preserve"> </w:t>
      </w:r>
      <w:r w:rsidR="002902AC">
        <w:rPr>
          <w:lang w:val="ka-GE"/>
        </w:rPr>
        <w:t xml:space="preserve">2018 წლის თებერვალში </w:t>
      </w:r>
      <w:r>
        <w:rPr>
          <w:lang w:val="ka-GE"/>
        </w:rPr>
        <w:t xml:space="preserve">მნიშვნელოვანი ზრდა დაფიქსირდა შემდეგ სექტორებში: </w:t>
      </w:r>
      <w:r w:rsidR="00E96ED8" w:rsidRPr="00E96ED8">
        <w:rPr>
          <w:lang w:val="ka-GE"/>
        </w:rPr>
        <w:t>სხვა კომუნალური, სოციალური და პერსონალური მომსახურების გაწევა</w:t>
      </w:r>
      <w:r>
        <w:rPr>
          <w:lang w:val="ka-GE"/>
        </w:rPr>
        <w:t xml:space="preserve"> - </w:t>
      </w:r>
      <w:r w:rsidR="00E96ED8">
        <w:rPr>
          <w:lang w:val="ka-GE"/>
        </w:rPr>
        <w:t>63.8</w:t>
      </w:r>
      <w:r>
        <w:rPr>
          <w:lang w:val="ka-GE"/>
        </w:rPr>
        <w:t xml:space="preserve"> პროცენტი, </w:t>
      </w:r>
      <w:r w:rsidR="00E96ED8">
        <w:rPr>
          <w:lang w:val="ka-GE"/>
        </w:rPr>
        <w:t xml:space="preserve">საფინანსო საქმიანობა </w:t>
      </w:r>
      <w:r>
        <w:rPr>
          <w:lang w:val="ka-GE"/>
        </w:rPr>
        <w:t xml:space="preserve">- </w:t>
      </w:r>
      <w:r w:rsidR="00E96ED8">
        <w:rPr>
          <w:lang w:val="ka-GE"/>
        </w:rPr>
        <w:t xml:space="preserve">18.1 </w:t>
      </w:r>
      <w:r>
        <w:rPr>
          <w:lang w:val="ka-GE"/>
        </w:rPr>
        <w:t>პროცენტი,</w:t>
      </w:r>
      <w:r w:rsidR="00AB3335">
        <w:rPr>
          <w:lang w:val="ka-GE"/>
        </w:rPr>
        <w:t xml:space="preserve"> უძრავი ქონება - 10.3 პროცენტი, </w:t>
      </w:r>
      <w:r>
        <w:rPr>
          <w:lang w:val="ka-GE"/>
        </w:rPr>
        <w:t xml:space="preserve"> </w:t>
      </w:r>
      <w:r w:rsidRPr="00B74DFF">
        <w:rPr>
          <w:lang w:val="ka-GE"/>
        </w:rPr>
        <w:t>დამამუშავებელი მრეწველობ</w:t>
      </w:r>
      <w:r>
        <w:rPr>
          <w:lang w:val="ka-GE"/>
        </w:rPr>
        <w:t xml:space="preserve">ა- </w:t>
      </w:r>
      <w:r w:rsidR="00AB3335">
        <w:rPr>
          <w:lang w:val="ka-GE"/>
        </w:rPr>
        <w:t>6.</w:t>
      </w:r>
      <w:r>
        <w:rPr>
          <w:lang w:val="ka-GE"/>
        </w:rPr>
        <w:t>7 პროცენტი.</w:t>
      </w:r>
      <w:r w:rsidR="00CB0DF3">
        <w:rPr>
          <w:lang w:val="ka-GE"/>
        </w:rPr>
        <w:t xml:space="preserve"> </w:t>
      </w:r>
    </w:p>
    <w:p w:rsidR="00EB52CE" w:rsidRPr="00856B05" w:rsidRDefault="006C08C4" w:rsidP="00254BEE">
      <w:pPr>
        <w:pStyle w:val="BodyText"/>
        <w:tabs>
          <w:tab w:val="decimal" w:pos="90"/>
          <w:tab w:val="decimal" w:pos="2430"/>
        </w:tabs>
        <w:jc w:val="both"/>
      </w:pPr>
      <w:r>
        <w:rPr>
          <w:noProof/>
        </w:rPr>
        <w:drawing>
          <wp:inline distT="0" distB="0" distL="0" distR="0" wp14:anchorId="6CA987A1" wp14:editId="3EC52D7D">
            <wp:extent cx="6143625" cy="22383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52CE" w:rsidRDefault="00EB52CE" w:rsidP="00254BEE">
      <w:pPr>
        <w:pStyle w:val="BodyText"/>
        <w:tabs>
          <w:tab w:val="decimal" w:pos="90"/>
          <w:tab w:val="decimal" w:pos="2430"/>
        </w:tabs>
        <w:jc w:val="both"/>
        <w:rPr>
          <w:lang w:val="ka-GE"/>
        </w:rPr>
      </w:pPr>
    </w:p>
    <w:p w:rsidR="002D502E" w:rsidRDefault="002D502E" w:rsidP="00254BEE">
      <w:pPr>
        <w:pStyle w:val="BodyText"/>
        <w:tabs>
          <w:tab w:val="decimal" w:pos="90"/>
          <w:tab w:val="decimal" w:pos="2430"/>
        </w:tabs>
        <w:jc w:val="both"/>
        <w:rPr>
          <w:lang w:val="ka-GE"/>
        </w:rPr>
      </w:pPr>
    </w:p>
    <w:p w:rsidR="002D502E" w:rsidRDefault="00EB0186" w:rsidP="00254BEE">
      <w:pPr>
        <w:pStyle w:val="BodyText"/>
        <w:tabs>
          <w:tab w:val="decimal" w:pos="90"/>
          <w:tab w:val="decimal" w:pos="2430"/>
        </w:tabs>
        <w:jc w:val="both"/>
        <w:rPr>
          <w:lang w:val="ka-GE"/>
        </w:rPr>
      </w:pPr>
      <w:r>
        <w:rPr>
          <w:lang w:val="ka-GE"/>
        </w:rPr>
        <w:t xml:space="preserve">აღსანიშნავია, რომ </w:t>
      </w:r>
      <w:r w:rsidR="002D502E" w:rsidRPr="00630D10">
        <w:rPr>
          <w:lang w:val="ka-GE"/>
        </w:rPr>
        <w:t xml:space="preserve">რეგიონში განვითარებული ეკონომიკური შოკების და გლობალური ეკონომიკური ზრდის შენელების </w:t>
      </w:r>
      <w:r w:rsidR="002D502E">
        <w:rPr>
          <w:lang w:val="ka-GE"/>
        </w:rPr>
        <w:t>მიუხედავად</w:t>
      </w:r>
      <w:r w:rsidR="002D502E" w:rsidRPr="00630D10">
        <w:rPr>
          <w:lang w:val="ka-GE"/>
        </w:rPr>
        <w:t xml:space="preserve">, </w:t>
      </w:r>
      <w:r w:rsidR="002D502E">
        <w:rPr>
          <w:lang w:val="ka-GE"/>
        </w:rPr>
        <w:t>2014-2016</w:t>
      </w:r>
      <w:r w:rsidR="002D502E" w:rsidRPr="00630D10">
        <w:rPr>
          <w:lang w:val="ka-GE"/>
        </w:rPr>
        <w:t xml:space="preserve"> </w:t>
      </w:r>
      <w:r w:rsidR="002D502E">
        <w:rPr>
          <w:lang w:val="ka-GE"/>
        </w:rPr>
        <w:t>წლებში</w:t>
      </w:r>
      <w:r w:rsidR="00A9788C">
        <w:t xml:space="preserve"> </w:t>
      </w:r>
      <w:r w:rsidR="00A9788C">
        <w:rPr>
          <w:lang w:val="ka-GE"/>
        </w:rPr>
        <w:t>საქართველოს</w:t>
      </w:r>
      <w:r w:rsidR="002D502E" w:rsidRPr="00630D10">
        <w:rPr>
          <w:lang w:val="ka-GE"/>
        </w:rPr>
        <w:t xml:space="preserve"> </w:t>
      </w:r>
      <w:r w:rsidR="002D502E">
        <w:rPr>
          <w:lang w:val="ka-GE"/>
        </w:rPr>
        <w:t xml:space="preserve"> საშუალო ეკონომიკურმა ზრდამ 3.5</w:t>
      </w:r>
      <w:r w:rsidR="002D502E" w:rsidRPr="00630D10">
        <w:rPr>
          <w:lang w:val="ka-GE"/>
        </w:rPr>
        <w:t xml:space="preserve"> </w:t>
      </w:r>
      <w:r w:rsidR="002D502E">
        <w:rPr>
          <w:lang w:val="ka-GE"/>
        </w:rPr>
        <w:t>პროცენტი შეადგინა</w:t>
      </w:r>
      <w:r w:rsidR="002D502E" w:rsidRPr="00630D10">
        <w:rPr>
          <w:lang w:val="ka-GE"/>
        </w:rPr>
        <w:t xml:space="preserve"> </w:t>
      </w:r>
      <w:r w:rsidR="002D502E">
        <w:rPr>
          <w:lang w:val="ka-GE"/>
        </w:rPr>
        <w:t>(</w:t>
      </w:r>
      <w:r w:rsidR="002D502E" w:rsidRPr="00630D10">
        <w:rPr>
          <w:lang w:val="ka-GE"/>
        </w:rPr>
        <w:t>ერთ-ერთი ყველაზე მაღალი ზრდა რეგიონის ქვეყნებს შორის</w:t>
      </w:r>
      <w:r w:rsidR="002D502E">
        <w:rPr>
          <w:lang w:val="ka-GE"/>
        </w:rPr>
        <w:t xml:space="preserve">), მაშინ როცა მეზობელი ქვეყნები რეცესიას განიცდიდნენ ან </w:t>
      </w:r>
      <w:proofErr w:type="spellStart"/>
      <w:r w:rsidR="002D502E">
        <w:rPr>
          <w:lang w:val="ka-GE"/>
        </w:rPr>
        <w:t>რეცესიის</w:t>
      </w:r>
      <w:proofErr w:type="spellEnd"/>
      <w:r w:rsidR="002D502E">
        <w:rPr>
          <w:lang w:val="ka-GE"/>
        </w:rPr>
        <w:t xml:space="preserve"> პირას იყვნენ.</w:t>
      </w:r>
    </w:p>
    <w:p w:rsidR="002D502E" w:rsidRPr="00630D10" w:rsidRDefault="002D502E" w:rsidP="00254BEE">
      <w:pPr>
        <w:pStyle w:val="BodyText"/>
        <w:tabs>
          <w:tab w:val="decimal" w:pos="90"/>
          <w:tab w:val="decimal" w:pos="2430"/>
        </w:tabs>
        <w:jc w:val="both"/>
        <w:rPr>
          <w:lang w:val="ka-GE"/>
        </w:rPr>
      </w:pPr>
    </w:p>
    <w:p w:rsidR="00EB52CE" w:rsidRPr="00630D10" w:rsidRDefault="00EB52CE" w:rsidP="00254BEE">
      <w:pPr>
        <w:pStyle w:val="Heading1"/>
        <w:spacing w:line="240" w:lineRule="auto"/>
      </w:pPr>
      <w:bookmarkStart w:id="1" w:name="_Toc511217314"/>
      <w:r w:rsidRPr="00630D10">
        <w:t>ეკონომიკური ზრდა საქართველოსა და მეზობელ ქვეყნებში</w:t>
      </w:r>
      <w:bookmarkEnd w:id="1"/>
    </w:p>
    <w:p w:rsidR="002C3155" w:rsidRDefault="002C3155" w:rsidP="00254BEE">
      <w:pPr>
        <w:pStyle w:val="BodyText"/>
        <w:tabs>
          <w:tab w:val="decimal" w:pos="90"/>
          <w:tab w:val="decimal" w:pos="2430"/>
        </w:tabs>
        <w:spacing w:before="6"/>
        <w:jc w:val="both"/>
        <w:rPr>
          <w:lang w:val="ka-GE"/>
        </w:rPr>
      </w:pPr>
    </w:p>
    <w:p w:rsidR="00EB52CE" w:rsidRPr="00F70ECE" w:rsidRDefault="00EB52CE" w:rsidP="00254BEE">
      <w:pPr>
        <w:pStyle w:val="BodyText"/>
        <w:tabs>
          <w:tab w:val="decimal" w:pos="90"/>
          <w:tab w:val="decimal" w:pos="2430"/>
        </w:tabs>
        <w:spacing w:before="6"/>
        <w:jc w:val="both"/>
      </w:pPr>
      <w:r w:rsidRPr="00630D10">
        <w:rPr>
          <w:lang w:val="ka-GE"/>
        </w:rPr>
        <w:t xml:space="preserve">საერთაშორისო სავალუტო ფონდის </w:t>
      </w:r>
      <w:r w:rsidR="00D74D5C">
        <w:rPr>
          <w:lang w:val="ka-GE"/>
        </w:rPr>
        <w:t>2017 წლის ოქტომბრის</w:t>
      </w:r>
      <w:r w:rsidRPr="00630D10">
        <w:rPr>
          <w:lang w:val="ka-GE"/>
        </w:rPr>
        <w:t xml:space="preserve"> პროგნოზის შესაბამისად საქართველოს ეკონომიკური ზრდა </w:t>
      </w:r>
      <w:r w:rsidRPr="00BD5FD1">
        <w:rPr>
          <w:b/>
          <w:lang w:val="ka-GE"/>
        </w:rPr>
        <w:t>2018 წელს 4.2 პროცენტი იქნება</w:t>
      </w:r>
      <w:r w:rsidRPr="00BD5FD1">
        <w:rPr>
          <w:rStyle w:val="FootnoteReference"/>
          <w:b/>
          <w:lang w:val="ka-GE"/>
        </w:rPr>
        <w:footnoteReference w:id="1"/>
      </w:r>
      <w:r w:rsidRPr="00BD5FD1">
        <w:rPr>
          <w:b/>
          <w:lang w:val="ka-GE"/>
        </w:rPr>
        <w:t>, რაც ერთ-ერთი ყველაზე მაღალი მაჩვენებელია</w:t>
      </w:r>
      <w:r w:rsidR="00856B05" w:rsidRPr="00BD5FD1">
        <w:rPr>
          <w:b/>
          <w:lang w:val="ka-GE"/>
        </w:rPr>
        <w:t xml:space="preserve"> აღმოსავლეთ ევროპის და ცენტრალური აზიის ქვეყნებს შორის</w:t>
      </w:r>
      <w:r w:rsidRPr="00BD5FD1">
        <w:rPr>
          <w:b/>
          <w:lang w:val="ka-GE"/>
        </w:rPr>
        <w:t>.</w:t>
      </w:r>
      <w:r w:rsidRPr="00630D10">
        <w:rPr>
          <w:lang w:val="ka-GE"/>
        </w:rPr>
        <w:t xml:space="preserve"> </w:t>
      </w:r>
      <w:r w:rsidR="00545D97" w:rsidRPr="00630D10">
        <w:rPr>
          <w:lang w:val="ka-GE"/>
        </w:rPr>
        <w:t>საერთაშორისო სავალუტო ფონდის</w:t>
      </w:r>
      <w:r w:rsidR="00545D97">
        <w:rPr>
          <w:lang w:val="ka-GE"/>
        </w:rPr>
        <w:t xml:space="preserve"> შეფასებით</w:t>
      </w:r>
      <w:r w:rsidR="00EF3006">
        <w:rPr>
          <w:lang w:val="ka-GE"/>
        </w:rPr>
        <w:t>,</w:t>
      </w:r>
      <w:r w:rsidR="00F70ECE">
        <w:rPr>
          <w:lang w:val="ka-GE"/>
        </w:rPr>
        <w:t xml:space="preserve"> საქართველოს ექნება ასევე ერთ-ერთი </w:t>
      </w:r>
      <w:r w:rsidR="00F70ECE" w:rsidRPr="00BD5FD1">
        <w:rPr>
          <w:b/>
          <w:lang w:val="ka-GE"/>
        </w:rPr>
        <w:t>ყველაზე მაღალი ზრდა 2018-2022</w:t>
      </w:r>
      <w:r w:rsidR="00545D97" w:rsidRPr="00BD5FD1">
        <w:rPr>
          <w:b/>
          <w:lang w:val="ka-GE"/>
        </w:rPr>
        <w:t xml:space="preserve"> წლებში</w:t>
      </w:r>
      <w:r w:rsidR="003D440D" w:rsidRPr="00BD5FD1">
        <w:rPr>
          <w:b/>
          <w:lang w:val="ka-GE"/>
        </w:rPr>
        <w:t xml:space="preserve"> რეგიონის ქვეყნებთან შედარებით</w:t>
      </w:r>
      <w:r w:rsidR="00545D97" w:rsidRPr="00BD5FD1">
        <w:rPr>
          <w:b/>
          <w:lang w:val="ka-GE"/>
        </w:rPr>
        <w:t xml:space="preserve"> და საშუალოდ 4.9 პროცენტს შეადგენს.</w:t>
      </w:r>
      <w:r w:rsidR="00545D97">
        <w:rPr>
          <w:lang w:val="ka-GE"/>
        </w:rPr>
        <w:t xml:space="preserve"> </w:t>
      </w:r>
      <w:r w:rsidR="00F70ECE">
        <w:t xml:space="preserve"> </w:t>
      </w:r>
    </w:p>
    <w:p w:rsidR="00EB52CE" w:rsidRPr="00630D10" w:rsidRDefault="00EB52CE" w:rsidP="00254BEE">
      <w:pPr>
        <w:pStyle w:val="BodyText"/>
        <w:tabs>
          <w:tab w:val="decimal" w:pos="90"/>
          <w:tab w:val="decimal" w:pos="2430"/>
        </w:tabs>
        <w:jc w:val="both"/>
        <w:rPr>
          <w:lang w:val="ka-GE"/>
        </w:rPr>
      </w:pPr>
      <w:r w:rsidRPr="00630D10">
        <w:rPr>
          <w:noProof/>
        </w:rPr>
        <w:drawing>
          <wp:inline distT="0" distB="0" distL="0" distR="0" wp14:anchorId="267A4CD1" wp14:editId="3CE1B243">
            <wp:extent cx="6444615" cy="2250391"/>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E1B86" w:rsidRPr="00630D10" w:rsidRDefault="000E1B86" w:rsidP="00254BEE">
      <w:pPr>
        <w:pStyle w:val="BodyText"/>
        <w:tabs>
          <w:tab w:val="decimal" w:pos="90"/>
          <w:tab w:val="decimal" w:pos="2430"/>
        </w:tabs>
        <w:spacing w:before="48"/>
        <w:jc w:val="both"/>
        <w:rPr>
          <w:lang w:val="ka-GE"/>
        </w:rPr>
      </w:pPr>
      <w:bookmarkStart w:id="2" w:name="_bookmark3"/>
      <w:bookmarkStart w:id="3" w:name="_Toc403140139"/>
      <w:bookmarkStart w:id="4" w:name="_Toc411009509"/>
      <w:bookmarkStart w:id="5" w:name="_Toc459736983"/>
      <w:bookmarkStart w:id="6" w:name="_Toc397674949"/>
      <w:bookmarkEnd w:id="2"/>
      <w:bookmarkEnd w:id="3"/>
      <w:bookmarkEnd w:id="4"/>
      <w:bookmarkEnd w:id="5"/>
      <w:bookmarkEnd w:id="6"/>
    </w:p>
    <w:p w:rsidR="00EB52CE" w:rsidRPr="0050545E" w:rsidRDefault="00EB52CE" w:rsidP="00254BEE">
      <w:pPr>
        <w:pStyle w:val="Heading1"/>
        <w:spacing w:line="240" w:lineRule="auto"/>
        <w:rPr>
          <w:lang w:val="en-US"/>
        </w:rPr>
      </w:pPr>
      <w:bookmarkStart w:id="7" w:name="_Toc511217315"/>
      <w:r w:rsidRPr="00630D10">
        <w:t xml:space="preserve">ეკონომიკის პოტენციური ზრდის დონე და მთლიანი შიდა პროდუქტის  </w:t>
      </w:r>
      <w:proofErr w:type="spellStart"/>
      <w:r w:rsidRPr="00630D10">
        <w:t>გეფი</w:t>
      </w:r>
      <w:proofErr w:type="spellEnd"/>
      <w:r w:rsidRPr="00630D10">
        <w:rPr>
          <w:rStyle w:val="FootnoteReference"/>
        </w:rPr>
        <w:footnoteReference w:id="2"/>
      </w:r>
      <w:bookmarkEnd w:id="7"/>
    </w:p>
    <w:p w:rsidR="002C3155" w:rsidRDefault="002C3155" w:rsidP="00254BEE">
      <w:pPr>
        <w:pStyle w:val="BodyText"/>
        <w:tabs>
          <w:tab w:val="decimal" w:pos="90"/>
          <w:tab w:val="decimal" w:pos="2430"/>
        </w:tabs>
        <w:spacing w:before="6"/>
        <w:jc w:val="both"/>
        <w:rPr>
          <w:b/>
          <w:lang w:val="ka-GE"/>
        </w:rPr>
      </w:pPr>
    </w:p>
    <w:p w:rsidR="00EB52CE" w:rsidRDefault="00EB52CE" w:rsidP="00254BEE">
      <w:pPr>
        <w:pStyle w:val="BodyText"/>
        <w:tabs>
          <w:tab w:val="decimal" w:pos="90"/>
          <w:tab w:val="decimal" w:pos="2430"/>
        </w:tabs>
        <w:spacing w:before="6"/>
        <w:jc w:val="both"/>
        <w:rPr>
          <w:b/>
          <w:lang w:val="ka-GE"/>
        </w:rPr>
      </w:pPr>
      <w:r w:rsidRPr="001E60CB">
        <w:rPr>
          <w:b/>
          <w:lang w:val="ka-GE"/>
        </w:rPr>
        <w:t xml:space="preserve">2017 წლის დასაწყისიდან ეკონომიკური ზრდა დაუახლოვდა მის პოტენციურ დონეს და პოტენციური დონიდან გადახრამ 2017 წელს დაახლოებით 1.0 </w:t>
      </w:r>
      <w:proofErr w:type="spellStart"/>
      <w:r w:rsidRPr="001E60CB">
        <w:rPr>
          <w:b/>
          <w:lang w:val="ka-GE"/>
        </w:rPr>
        <w:t>პ.პ</w:t>
      </w:r>
      <w:proofErr w:type="spellEnd"/>
      <w:r w:rsidRPr="001E60CB">
        <w:rPr>
          <w:b/>
          <w:lang w:val="ka-GE"/>
        </w:rPr>
        <w:t xml:space="preserve">. შეადგინა.  </w:t>
      </w:r>
      <w:r w:rsidR="00603926" w:rsidRPr="001E60CB">
        <w:rPr>
          <w:b/>
          <w:lang w:val="ka-GE"/>
        </w:rPr>
        <w:t xml:space="preserve">მიმდინარე და დაგეგმილი სტრუქტურული რეფორმები ხელს შეუწყობს როგორც პოტენციური დონის ზრდას, ასევე </w:t>
      </w:r>
      <w:r w:rsidR="00330668" w:rsidRPr="001E60CB">
        <w:rPr>
          <w:b/>
          <w:lang w:val="ka-GE"/>
        </w:rPr>
        <w:t xml:space="preserve">ეკონომიკური ზრდის დაახლოვებას პოტენციურ დონესთან. </w:t>
      </w:r>
    </w:p>
    <w:p w:rsidR="00BD5FD1" w:rsidRPr="00BD5FD1" w:rsidRDefault="00BD5FD1" w:rsidP="00254BEE">
      <w:pPr>
        <w:pStyle w:val="BodyText"/>
        <w:tabs>
          <w:tab w:val="decimal" w:pos="90"/>
          <w:tab w:val="decimal" w:pos="2430"/>
        </w:tabs>
        <w:spacing w:before="6"/>
        <w:jc w:val="both"/>
        <w:rPr>
          <w:lang w:val="ka-GE"/>
        </w:rPr>
      </w:pPr>
      <w:r>
        <w:rPr>
          <w:lang w:val="ka-GE"/>
        </w:rPr>
        <w:t xml:space="preserve">მიმდინარე შეფასებით, </w:t>
      </w:r>
      <w:proofErr w:type="spellStart"/>
      <w:r>
        <w:rPr>
          <w:lang w:val="ka-GE"/>
        </w:rPr>
        <w:t>მშპ</w:t>
      </w:r>
      <w:proofErr w:type="spellEnd"/>
      <w:r>
        <w:rPr>
          <w:lang w:val="ka-GE"/>
        </w:rPr>
        <w:t xml:space="preserve">-ს </w:t>
      </w:r>
      <w:proofErr w:type="spellStart"/>
      <w:r>
        <w:rPr>
          <w:lang w:val="ka-GE"/>
        </w:rPr>
        <w:t>გეფი</w:t>
      </w:r>
      <w:proofErr w:type="spellEnd"/>
      <w:r>
        <w:rPr>
          <w:lang w:val="ka-GE"/>
        </w:rPr>
        <w:t xml:space="preserve"> 2019 წელს დაიხურება და ეკონომიკა თავის პოტენციურ დონეს დაუბრუნდება.</w:t>
      </w:r>
    </w:p>
    <w:p w:rsidR="00EB52CE" w:rsidRPr="00630D10" w:rsidRDefault="00EB52CE" w:rsidP="00254BEE">
      <w:pPr>
        <w:pStyle w:val="BodyText"/>
        <w:tabs>
          <w:tab w:val="decimal" w:pos="90"/>
          <w:tab w:val="decimal" w:pos="2430"/>
        </w:tabs>
        <w:spacing w:before="6"/>
        <w:jc w:val="both"/>
        <w:rPr>
          <w:lang w:val="ka-GE"/>
        </w:rPr>
      </w:pPr>
      <w:bookmarkStart w:id="8" w:name="_bookmark2"/>
      <w:bookmarkEnd w:id="8"/>
    </w:p>
    <w:p w:rsidR="00EB52CE" w:rsidRPr="00630D10" w:rsidRDefault="00EB52CE" w:rsidP="00254BEE">
      <w:pPr>
        <w:pStyle w:val="Heading1"/>
        <w:spacing w:line="240" w:lineRule="auto"/>
      </w:pPr>
      <w:bookmarkStart w:id="9" w:name="_Toc511217316"/>
      <w:r w:rsidRPr="00630D10">
        <w:t>ფასების დონე</w:t>
      </w:r>
      <w:bookmarkEnd w:id="9"/>
    </w:p>
    <w:p w:rsidR="002C3155" w:rsidRDefault="002C3155" w:rsidP="00254BEE">
      <w:pPr>
        <w:pStyle w:val="BodyText"/>
        <w:tabs>
          <w:tab w:val="decimal" w:pos="90"/>
          <w:tab w:val="decimal" w:pos="2430"/>
        </w:tabs>
        <w:jc w:val="both"/>
        <w:rPr>
          <w:b/>
          <w:lang w:val="ka-GE"/>
        </w:rPr>
      </w:pPr>
    </w:p>
    <w:p w:rsidR="009F0A66" w:rsidRDefault="002323DD" w:rsidP="00254BEE">
      <w:pPr>
        <w:pStyle w:val="BodyText"/>
        <w:tabs>
          <w:tab w:val="decimal" w:pos="90"/>
          <w:tab w:val="decimal" w:pos="2430"/>
        </w:tabs>
        <w:jc w:val="both"/>
        <w:rPr>
          <w:lang w:val="ka-GE"/>
        </w:rPr>
      </w:pPr>
      <w:r w:rsidRPr="009F0A66">
        <w:rPr>
          <w:b/>
          <w:lang w:val="ka-GE"/>
        </w:rPr>
        <w:t xml:space="preserve">როგორც მოსალოდნელი იყო, ერთჯერადი ფაქტორების </w:t>
      </w:r>
      <w:r w:rsidR="00D74D5C">
        <w:rPr>
          <w:b/>
          <w:lang w:val="ka-GE"/>
        </w:rPr>
        <w:t xml:space="preserve">ზემოქმედების </w:t>
      </w:r>
      <w:r w:rsidRPr="009F0A66">
        <w:rPr>
          <w:b/>
          <w:lang w:val="ka-GE"/>
        </w:rPr>
        <w:t>ამოწურვასთან ერთად</w:t>
      </w:r>
      <w:r w:rsidR="00BE5D7D" w:rsidRPr="009F0A66">
        <w:rPr>
          <w:b/>
          <w:lang w:val="ka-GE"/>
        </w:rPr>
        <w:t xml:space="preserve">, </w:t>
      </w:r>
      <w:r w:rsidR="00EB52CE" w:rsidRPr="009F0A66">
        <w:rPr>
          <w:b/>
          <w:lang w:val="ka-GE"/>
        </w:rPr>
        <w:t xml:space="preserve">2018 წლის </w:t>
      </w:r>
      <w:r w:rsidR="00AC6CB3">
        <w:rPr>
          <w:b/>
          <w:lang w:val="ka-GE"/>
        </w:rPr>
        <w:t xml:space="preserve">იანვრიდან </w:t>
      </w:r>
      <w:r w:rsidR="00EB52CE" w:rsidRPr="009F0A66">
        <w:rPr>
          <w:b/>
          <w:lang w:val="ka-GE"/>
        </w:rPr>
        <w:t xml:space="preserve">მნიშვნელოვნად შემცირდა ინფლაციის </w:t>
      </w:r>
      <w:r w:rsidR="00D74D5C">
        <w:rPr>
          <w:b/>
          <w:lang w:val="ka-GE"/>
        </w:rPr>
        <w:t>მაჩვენებელი</w:t>
      </w:r>
      <w:r w:rsidR="00AC6CB3">
        <w:rPr>
          <w:b/>
          <w:lang w:val="ka-GE"/>
        </w:rPr>
        <w:t xml:space="preserve"> და მარტში 2.8 პროცენტი შეადგინა</w:t>
      </w:r>
      <w:r w:rsidR="004B48A7">
        <w:rPr>
          <w:b/>
          <w:lang w:val="ka-GE"/>
        </w:rPr>
        <w:t xml:space="preserve">. </w:t>
      </w:r>
      <w:r w:rsidR="00D74D5C">
        <w:rPr>
          <w:b/>
          <w:lang w:val="ka-GE"/>
        </w:rPr>
        <w:t xml:space="preserve"> შე</w:t>
      </w:r>
      <w:r w:rsidR="00AC6CB3">
        <w:rPr>
          <w:b/>
          <w:lang w:val="ka-GE"/>
        </w:rPr>
        <w:t>ს</w:t>
      </w:r>
      <w:r w:rsidR="00D74D5C">
        <w:rPr>
          <w:b/>
          <w:lang w:val="ka-GE"/>
        </w:rPr>
        <w:t xml:space="preserve">აბამისად, </w:t>
      </w:r>
      <w:r w:rsidR="007A2A7D" w:rsidRPr="003D440D">
        <w:rPr>
          <w:lang w:val="ka-GE"/>
        </w:rPr>
        <w:t>ინფლაციის დონე  დაუახლოვდა მიზნობრივ</w:t>
      </w:r>
      <w:r w:rsidR="004B48A7">
        <w:rPr>
          <w:lang w:val="ka-GE"/>
        </w:rPr>
        <w:t xml:space="preserve">, 3 პროცენტიან </w:t>
      </w:r>
      <w:r w:rsidR="007A2A7D" w:rsidRPr="003D440D">
        <w:rPr>
          <w:lang w:val="ka-GE"/>
        </w:rPr>
        <w:t xml:space="preserve">მაჩვენებელს. </w:t>
      </w:r>
      <w:r w:rsidR="00EB52CE" w:rsidRPr="003D440D">
        <w:rPr>
          <w:lang w:val="ka-GE"/>
        </w:rPr>
        <w:t>საბაზო  ინფლაცია</w:t>
      </w:r>
      <w:r w:rsidR="00EF3006" w:rsidRPr="003D440D">
        <w:rPr>
          <w:rStyle w:val="FootnoteReference"/>
          <w:lang w:val="ka-GE"/>
        </w:rPr>
        <w:footnoteReference w:id="3"/>
      </w:r>
      <w:r w:rsidR="00EB52CE" w:rsidRPr="003D440D">
        <w:rPr>
          <w:lang w:val="ka-GE"/>
        </w:rPr>
        <w:t xml:space="preserve"> კიდევ უფრო ნაკლებია და</w:t>
      </w:r>
      <w:r w:rsidR="00A6076C" w:rsidRPr="003D440D">
        <w:rPr>
          <w:lang w:val="ka-GE"/>
        </w:rPr>
        <w:t xml:space="preserve"> </w:t>
      </w:r>
      <w:r w:rsidR="005B2516">
        <w:rPr>
          <w:lang w:val="ka-GE"/>
        </w:rPr>
        <w:t xml:space="preserve">მარტში </w:t>
      </w:r>
      <w:r w:rsidR="00A6076C" w:rsidRPr="003D440D">
        <w:rPr>
          <w:lang w:val="ka-GE"/>
        </w:rPr>
        <w:t>1.</w:t>
      </w:r>
      <w:r w:rsidR="005B2516">
        <w:rPr>
          <w:lang w:val="ka-GE"/>
        </w:rPr>
        <w:t>8</w:t>
      </w:r>
      <w:r w:rsidR="00EB52CE" w:rsidRPr="003D440D">
        <w:rPr>
          <w:lang w:val="ka-GE"/>
        </w:rPr>
        <w:t xml:space="preserve"> პროცენტს შეადგენს</w:t>
      </w:r>
      <w:r w:rsidR="009F0A66">
        <w:rPr>
          <w:lang w:val="ka-GE"/>
        </w:rPr>
        <w:t>.</w:t>
      </w:r>
    </w:p>
    <w:p w:rsidR="009C208F" w:rsidRPr="001E0804" w:rsidRDefault="00EB52CE" w:rsidP="00254BEE">
      <w:pPr>
        <w:shd w:val="clear" w:color="auto" w:fill="FFFFFF"/>
        <w:jc w:val="both"/>
        <w:rPr>
          <w:rFonts w:eastAsia="Times New Roman" w:cs="Arial"/>
          <w:color w:val="222222"/>
        </w:rPr>
      </w:pPr>
      <w:r w:rsidRPr="003D440D">
        <w:rPr>
          <w:rFonts w:eastAsia="Times New Roman" w:cs="Arial"/>
          <w:color w:val="222222"/>
          <w:lang w:val="ka-GE"/>
        </w:rPr>
        <w:t xml:space="preserve">ეროვნული ბანკის პროგნოზით, წლიური </w:t>
      </w:r>
      <w:r w:rsidR="00C274C6" w:rsidRPr="003D440D">
        <w:rPr>
          <w:rFonts w:eastAsia="Times New Roman" w:cs="Arial"/>
          <w:color w:val="222222"/>
          <w:lang w:val="ka-GE"/>
        </w:rPr>
        <w:t>ინფლაციის მაჩვენებელი 2018 წლის</w:t>
      </w:r>
      <w:r w:rsidRPr="003D440D">
        <w:rPr>
          <w:rFonts w:eastAsia="Times New Roman" w:cs="Arial"/>
          <w:color w:val="222222"/>
          <w:lang w:val="ka-GE"/>
        </w:rPr>
        <w:t xml:space="preserve"> განმავლობაში საშუალოდ მიზნობრივ დონესთან ახლოს იქნება.</w:t>
      </w:r>
      <w:r w:rsidR="000B4635" w:rsidRPr="003D440D">
        <w:rPr>
          <w:rFonts w:eastAsia="Times New Roman" w:cs="Arial"/>
          <w:color w:val="222222"/>
          <w:lang w:val="ka-GE"/>
        </w:rPr>
        <w:t xml:space="preserve"> </w:t>
      </w:r>
      <w:r w:rsidR="009C208F">
        <w:rPr>
          <w:rFonts w:eastAsia="Times New Roman" w:cs="Arial"/>
          <w:color w:val="222222"/>
        </w:rPr>
        <w:t>2</w:t>
      </w:r>
      <w:r w:rsidR="009C208F" w:rsidRPr="00950B1B">
        <w:rPr>
          <w:rFonts w:eastAsia="Times New Roman" w:cs="Arial"/>
          <w:color w:val="222222"/>
          <w:lang w:val="ka-GE"/>
        </w:rPr>
        <w:t xml:space="preserve">018 წლის 14 მარტს </w:t>
      </w:r>
      <w:proofErr w:type="spellStart"/>
      <w:r w:rsidR="009C208F">
        <w:rPr>
          <w:color w:val="474747"/>
        </w:rPr>
        <w:t>მონეტარული</w:t>
      </w:r>
      <w:proofErr w:type="spellEnd"/>
      <w:r w:rsidR="009C208F">
        <w:rPr>
          <w:color w:val="474747"/>
        </w:rPr>
        <w:t xml:space="preserve"> </w:t>
      </w:r>
      <w:proofErr w:type="spellStart"/>
      <w:r w:rsidR="009C208F">
        <w:rPr>
          <w:color w:val="474747"/>
        </w:rPr>
        <w:t>პოლიტიკის</w:t>
      </w:r>
      <w:proofErr w:type="spellEnd"/>
      <w:r w:rsidR="009C208F">
        <w:rPr>
          <w:color w:val="474747"/>
        </w:rPr>
        <w:t xml:space="preserve"> </w:t>
      </w:r>
      <w:proofErr w:type="spellStart"/>
      <w:r w:rsidR="009C208F">
        <w:rPr>
          <w:color w:val="474747"/>
        </w:rPr>
        <w:t>კომიტეტმა</w:t>
      </w:r>
      <w:proofErr w:type="spellEnd"/>
      <w:r w:rsidR="009C208F">
        <w:rPr>
          <w:color w:val="474747"/>
        </w:rPr>
        <w:t xml:space="preserve"> </w:t>
      </w:r>
      <w:r w:rsidR="009C208F" w:rsidRPr="00950B1B">
        <w:rPr>
          <w:rFonts w:eastAsia="Times New Roman" w:cs="Arial"/>
          <w:color w:val="222222"/>
          <w:lang w:val="ka-GE"/>
        </w:rPr>
        <w:t>მიიღო გადაწყვეტილება რეფინანსირების განაკვეთის უცვლელად დატოვების შესახებ.</w:t>
      </w:r>
      <w:r w:rsidR="009C208F">
        <w:rPr>
          <w:rFonts w:eastAsia="Times New Roman" w:cs="Arial"/>
          <w:color w:val="222222"/>
        </w:rPr>
        <w:t xml:space="preserve"> </w:t>
      </w:r>
      <w:r w:rsidR="009C208F">
        <w:rPr>
          <w:rFonts w:eastAsia="Times New Roman" w:cs="Arial"/>
          <w:color w:val="222222"/>
          <w:lang w:val="ka-GE"/>
        </w:rPr>
        <w:t xml:space="preserve">ეროვნული ბანკი </w:t>
      </w:r>
      <w:r w:rsidR="009C208F" w:rsidRPr="005B5A9D">
        <w:rPr>
          <w:rFonts w:eastAsia="Times New Roman" w:cs="Arial"/>
          <w:color w:val="222222"/>
          <w:lang w:val="ka-GE"/>
        </w:rPr>
        <w:t>პოლიტიკის ეტაპობრივი შერბილების დაწყებას  განიხილავს ინფლაციაზე ზრდის მიმართულებით მოქმედი ფაქტორების საკმარისად შესუსტების შემდეგ.</w:t>
      </w:r>
      <w:r w:rsidR="009C208F">
        <w:rPr>
          <w:rFonts w:eastAsia="Times New Roman" w:cs="Arial"/>
          <w:color w:val="222222"/>
        </w:rPr>
        <w:t xml:space="preserve"> </w:t>
      </w:r>
      <w:r w:rsidR="009C208F">
        <w:rPr>
          <w:rFonts w:eastAsia="Times New Roman" w:cs="Arial"/>
          <w:color w:val="222222"/>
          <w:lang w:val="ka-GE"/>
        </w:rPr>
        <w:t>2018 წელს მიმდინარე ანგარიშის გაუმჯობესება</w:t>
      </w:r>
      <w:r w:rsidR="009C208F">
        <w:rPr>
          <w:rFonts w:eastAsia="Times New Roman" w:cs="Arial"/>
          <w:color w:val="222222"/>
        </w:rPr>
        <w:t>,</w:t>
      </w:r>
      <w:r w:rsidR="009C208F">
        <w:rPr>
          <w:rFonts w:eastAsia="Times New Roman" w:cs="Arial"/>
          <w:color w:val="222222"/>
          <w:lang w:val="ka-GE"/>
        </w:rPr>
        <w:t xml:space="preserve"> ნომინალური ეფექტური გაცვლითი კურსის გამყარების გზით</w:t>
      </w:r>
      <w:r w:rsidR="009C208F">
        <w:rPr>
          <w:rFonts w:eastAsia="Times New Roman" w:cs="Arial"/>
          <w:color w:val="222222"/>
        </w:rPr>
        <w:t>,</w:t>
      </w:r>
      <w:r w:rsidR="009C208F">
        <w:rPr>
          <w:rFonts w:eastAsia="Times New Roman" w:cs="Arial"/>
          <w:color w:val="222222"/>
          <w:lang w:val="ka-GE"/>
        </w:rPr>
        <w:t xml:space="preserve"> ინფლაციაზე შემცირების მიმართულებით მოახდენს გავლენას. </w:t>
      </w:r>
    </w:p>
    <w:p w:rsidR="009B3005" w:rsidRPr="003D440D" w:rsidRDefault="000C0F61" w:rsidP="00254BEE">
      <w:pPr>
        <w:pStyle w:val="BodyText"/>
        <w:tabs>
          <w:tab w:val="decimal" w:pos="90"/>
          <w:tab w:val="decimal" w:pos="2430"/>
        </w:tabs>
        <w:jc w:val="both"/>
        <w:rPr>
          <w:rFonts w:eastAsia="Times New Roman" w:cs="Arial"/>
          <w:color w:val="222222"/>
          <w:lang w:val="ka-GE"/>
        </w:rPr>
      </w:pPr>
      <w:r>
        <w:rPr>
          <w:lang w:val="ka-GE"/>
        </w:rPr>
        <w:t>2018-2019 წლებში</w:t>
      </w:r>
      <w:r w:rsidR="009B3005">
        <w:rPr>
          <w:lang w:val="ka-GE"/>
        </w:rPr>
        <w:t xml:space="preserve">, მოსალოდნელია მონეტარული პოლიტიკის </w:t>
      </w:r>
      <w:r>
        <w:rPr>
          <w:lang w:val="ka-GE"/>
        </w:rPr>
        <w:t>ნორმალიზაცია და განაკვეთის პოტენციურ დონემდე შემცირება</w:t>
      </w:r>
      <w:r w:rsidR="009B3005">
        <w:rPr>
          <w:lang w:val="ka-GE"/>
        </w:rPr>
        <w:t>, რაც სხვა ფაქტორებთან ერთად ასევე ხელს შეუწყობს ეკონომიკურ ზრდას.</w:t>
      </w:r>
    </w:p>
    <w:p w:rsidR="00EB52CE" w:rsidRPr="00630D10" w:rsidRDefault="00EB52CE" w:rsidP="00254BEE">
      <w:pPr>
        <w:pStyle w:val="BodyText"/>
        <w:tabs>
          <w:tab w:val="decimal" w:pos="90"/>
          <w:tab w:val="decimal" w:pos="2430"/>
        </w:tabs>
        <w:jc w:val="both"/>
        <w:rPr>
          <w:lang w:val="ka-GE"/>
        </w:rPr>
      </w:pPr>
      <w:r w:rsidRPr="00630D10">
        <w:rPr>
          <w:lang w:val="ka-GE"/>
        </w:rPr>
        <w:t xml:space="preserve">  </w:t>
      </w:r>
    </w:p>
    <w:p w:rsidR="00EB52CE" w:rsidRPr="00630D10" w:rsidRDefault="00EB52CE" w:rsidP="00254BEE">
      <w:pPr>
        <w:pStyle w:val="Heading1"/>
        <w:spacing w:line="240" w:lineRule="auto"/>
      </w:pPr>
      <w:bookmarkStart w:id="10" w:name="_bookmark4"/>
      <w:bookmarkStart w:id="11" w:name="_Toc511217317"/>
      <w:bookmarkEnd w:id="10"/>
      <w:r w:rsidRPr="00630D10">
        <w:t>კერძო სექტორის როლი ეკონომიკურ  ზრდაში</w:t>
      </w:r>
      <w:bookmarkEnd w:id="11"/>
    </w:p>
    <w:p w:rsidR="002C3155" w:rsidRDefault="002C3155" w:rsidP="00254BEE">
      <w:pPr>
        <w:pStyle w:val="BodyText"/>
        <w:tabs>
          <w:tab w:val="decimal" w:pos="90"/>
          <w:tab w:val="decimal" w:pos="2430"/>
        </w:tabs>
        <w:spacing w:before="48"/>
        <w:jc w:val="both"/>
        <w:rPr>
          <w:lang w:val="ka-GE"/>
        </w:rPr>
      </w:pPr>
    </w:p>
    <w:p w:rsidR="00EB52CE" w:rsidRPr="00630D10" w:rsidRDefault="00EB52CE" w:rsidP="00254BEE">
      <w:pPr>
        <w:pStyle w:val="BodyText"/>
        <w:tabs>
          <w:tab w:val="decimal" w:pos="90"/>
          <w:tab w:val="decimal" w:pos="2430"/>
        </w:tabs>
        <w:spacing w:before="48"/>
        <w:jc w:val="both"/>
        <w:rPr>
          <w:lang w:val="ka-GE"/>
        </w:rPr>
      </w:pPr>
      <w:r w:rsidRPr="00630D10">
        <w:rPr>
          <w:lang w:val="ka-GE"/>
        </w:rPr>
        <w:t xml:space="preserve">ეკონომიკურ ზრდაში წარმმართველი როლი კერძო სექტორს უჭირავს. </w:t>
      </w:r>
    </w:p>
    <w:p w:rsidR="00EB52CE" w:rsidRPr="009F0A66" w:rsidRDefault="00EB52CE" w:rsidP="00254BEE">
      <w:pPr>
        <w:pStyle w:val="BodyText"/>
        <w:tabs>
          <w:tab w:val="decimal" w:pos="90"/>
          <w:tab w:val="decimal" w:pos="2430"/>
        </w:tabs>
        <w:spacing w:before="48"/>
        <w:jc w:val="both"/>
        <w:rPr>
          <w:b/>
          <w:lang w:val="ka-GE"/>
        </w:rPr>
      </w:pPr>
      <w:r w:rsidRPr="009F0A66">
        <w:rPr>
          <w:b/>
          <w:lang w:val="ka-GE"/>
        </w:rPr>
        <w:t xml:space="preserve">2017 </w:t>
      </w:r>
      <w:r w:rsidR="00BB6B7A">
        <w:rPr>
          <w:b/>
          <w:lang w:val="ka-GE"/>
        </w:rPr>
        <w:t xml:space="preserve">წლის ოთხი კვარტლის მონაცემებით </w:t>
      </w:r>
      <w:r w:rsidRPr="009F0A66">
        <w:rPr>
          <w:b/>
          <w:lang w:val="ka-GE"/>
        </w:rPr>
        <w:t>ბიზნეს სექტორის ბრუნვა 1</w:t>
      </w:r>
      <w:r w:rsidR="00BB6B7A">
        <w:rPr>
          <w:b/>
          <w:lang w:val="ka-GE"/>
        </w:rPr>
        <w:t xml:space="preserve">9.4 </w:t>
      </w:r>
      <w:r w:rsidRPr="009F0A66">
        <w:rPr>
          <w:b/>
          <w:lang w:val="ka-GE"/>
        </w:rPr>
        <w:t xml:space="preserve">პროცენტით, ხოლო გამოშვება 19.6 პროცენტით გაიზარდა. </w:t>
      </w:r>
      <w:r w:rsidR="00000394" w:rsidRPr="009F0A66">
        <w:rPr>
          <w:b/>
          <w:lang w:val="ka-GE"/>
        </w:rPr>
        <w:t xml:space="preserve">ბრუნვისა და გამოშვების ზრდა დაფიქსირდა ეკონომიკის ყველა სექტორში. </w:t>
      </w:r>
      <w:r w:rsidR="00726317" w:rsidRPr="009F0A66">
        <w:rPr>
          <w:b/>
          <w:lang w:val="ka-GE"/>
        </w:rPr>
        <w:t xml:space="preserve"> </w:t>
      </w:r>
    </w:p>
    <w:p w:rsidR="007A2A7D" w:rsidRPr="00630D10" w:rsidRDefault="007A2A7D" w:rsidP="00254BEE">
      <w:pPr>
        <w:pStyle w:val="BodyText"/>
        <w:tabs>
          <w:tab w:val="decimal" w:pos="90"/>
          <w:tab w:val="decimal" w:pos="2430"/>
        </w:tabs>
        <w:spacing w:before="48"/>
        <w:jc w:val="both"/>
        <w:rPr>
          <w:lang w:val="ka-GE"/>
        </w:rPr>
      </w:pPr>
      <w:r w:rsidRPr="00630D10">
        <w:rPr>
          <w:b/>
          <w:noProof/>
        </w:rPr>
        <w:drawing>
          <wp:inline distT="0" distB="0" distL="0" distR="0" wp14:anchorId="398080FE" wp14:editId="11E16326">
            <wp:extent cx="5943600" cy="1789280"/>
            <wp:effectExtent l="0" t="0" r="0" b="19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C1DE5" w:rsidRPr="009F0A66" w:rsidRDefault="00EB52CE" w:rsidP="00254BEE">
      <w:pPr>
        <w:pStyle w:val="BodyText"/>
        <w:tabs>
          <w:tab w:val="decimal" w:pos="90"/>
          <w:tab w:val="decimal" w:pos="2430"/>
        </w:tabs>
        <w:spacing w:before="48"/>
        <w:jc w:val="both"/>
        <w:rPr>
          <w:b/>
          <w:lang w:val="ka-GE"/>
        </w:rPr>
      </w:pPr>
      <w:r w:rsidRPr="009F0A66">
        <w:rPr>
          <w:b/>
          <w:lang w:val="ka-GE"/>
        </w:rPr>
        <w:t xml:space="preserve">2017 წლის </w:t>
      </w:r>
      <w:r w:rsidR="00BB6B7A">
        <w:rPr>
          <w:b/>
          <w:lang w:val="ka-GE"/>
        </w:rPr>
        <w:t>მეოთხე</w:t>
      </w:r>
      <w:r w:rsidRPr="009F0A66">
        <w:rPr>
          <w:b/>
          <w:lang w:val="ka-GE"/>
        </w:rPr>
        <w:t xml:space="preserve"> კვარტლის მონაცემებით</w:t>
      </w:r>
      <w:r w:rsidR="00046F09">
        <w:rPr>
          <w:b/>
          <w:lang w:val="ka-GE"/>
        </w:rPr>
        <w:t xml:space="preserve"> ბიზნეს სექტორში</w:t>
      </w:r>
      <w:r w:rsidRPr="009F0A66">
        <w:rPr>
          <w:b/>
          <w:lang w:val="ka-GE"/>
        </w:rPr>
        <w:t xml:space="preserve"> დასაქ</w:t>
      </w:r>
      <w:r w:rsidRPr="009F0A66">
        <w:rPr>
          <w:b/>
          <w:lang w:val="ka-GE"/>
        </w:rPr>
        <w:softHyphen/>
        <w:t>მე</w:t>
      </w:r>
      <w:r w:rsidRPr="009F0A66">
        <w:rPr>
          <w:b/>
          <w:lang w:val="ka-GE"/>
        </w:rPr>
        <w:softHyphen/>
        <w:t xml:space="preserve">ბულთა რაოდენობამ  </w:t>
      </w:r>
      <w:r w:rsidR="00BB6B7A">
        <w:rPr>
          <w:b/>
          <w:lang w:val="ka-GE"/>
        </w:rPr>
        <w:t>660.1</w:t>
      </w:r>
      <w:r w:rsidRPr="009F0A66">
        <w:rPr>
          <w:b/>
          <w:lang w:val="ka-GE"/>
        </w:rPr>
        <w:t xml:space="preserve"> ათასი კაცი შეადგინა</w:t>
      </w:r>
      <w:r w:rsidR="000C0F61">
        <w:rPr>
          <w:b/>
          <w:lang w:val="ka-GE"/>
        </w:rPr>
        <w:t>, რაც</w:t>
      </w:r>
      <w:r w:rsidR="002C4823" w:rsidRPr="009F0A66">
        <w:rPr>
          <w:b/>
          <w:lang w:val="ka-GE"/>
        </w:rPr>
        <w:t xml:space="preserve"> გასული წლის შესა</w:t>
      </w:r>
      <w:r w:rsidR="002C4823" w:rsidRPr="009F0A66">
        <w:rPr>
          <w:b/>
          <w:lang w:val="ka-GE"/>
        </w:rPr>
        <w:softHyphen/>
        <w:t>ბა</w:t>
      </w:r>
      <w:r w:rsidR="002C4823" w:rsidRPr="009F0A66">
        <w:rPr>
          <w:b/>
          <w:lang w:val="ka-GE"/>
        </w:rPr>
        <w:softHyphen/>
        <w:t>მისი პერი</w:t>
      </w:r>
      <w:r w:rsidR="002C4823" w:rsidRPr="009F0A66">
        <w:rPr>
          <w:b/>
          <w:lang w:val="ka-GE"/>
        </w:rPr>
        <w:softHyphen/>
        <w:t>ოდ</w:t>
      </w:r>
      <w:r w:rsidR="002C4823" w:rsidRPr="009F0A66">
        <w:rPr>
          <w:b/>
          <w:lang w:val="ka-GE"/>
        </w:rPr>
        <w:softHyphen/>
      </w:r>
      <w:r w:rsidR="002C4823" w:rsidRPr="009F0A66">
        <w:rPr>
          <w:b/>
          <w:lang w:val="ka-GE"/>
        </w:rPr>
        <w:softHyphen/>
      </w:r>
      <w:r w:rsidR="002C4823" w:rsidRPr="009F0A66">
        <w:rPr>
          <w:b/>
          <w:lang w:val="ka-GE"/>
        </w:rPr>
        <w:softHyphen/>
        <w:t>ის მაჩვენებელს 6.3 პროცენტით აღემატება</w:t>
      </w:r>
      <w:r w:rsidR="000C0F61">
        <w:rPr>
          <w:b/>
          <w:lang w:val="ka-GE"/>
        </w:rPr>
        <w:t>. ეს წინა წელ</w:t>
      </w:r>
      <w:r w:rsidR="00216272" w:rsidRPr="009F0A66">
        <w:rPr>
          <w:b/>
          <w:lang w:val="ka-GE"/>
        </w:rPr>
        <w:t xml:space="preserve">თან შედარებით </w:t>
      </w:r>
      <w:r w:rsidR="00BB6B7A">
        <w:rPr>
          <w:b/>
          <w:lang w:val="ka-GE"/>
        </w:rPr>
        <w:t>39</w:t>
      </w:r>
      <w:r w:rsidR="00C862B6" w:rsidRPr="009F0A66">
        <w:rPr>
          <w:b/>
          <w:lang w:val="ka-GE"/>
        </w:rPr>
        <w:t xml:space="preserve"> </w:t>
      </w:r>
      <w:r w:rsidR="002C4823" w:rsidRPr="009F0A66">
        <w:rPr>
          <w:b/>
          <w:lang w:val="ka-GE"/>
        </w:rPr>
        <w:t xml:space="preserve">ათასით მეტ სამუშაო ადგილს ნიშნავს. </w:t>
      </w:r>
      <w:r w:rsidR="00A74E7E">
        <w:rPr>
          <w:b/>
          <w:lang w:val="ka-GE"/>
        </w:rPr>
        <w:t>კერძო სექტორში დაქირავებით დასაქმებულია 629.9 ათასი კაცი, რაც 2016 წლის მაჩვენებელს 7.7 პროცენტით აღემატება.</w:t>
      </w:r>
    </w:p>
    <w:p w:rsidR="00CB6B06" w:rsidRDefault="00CB6B06" w:rsidP="00254BEE">
      <w:pPr>
        <w:pStyle w:val="BodyText"/>
        <w:tabs>
          <w:tab w:val="decimal" w:pos="90"/>
          <w:tab w:val="decimal" w:pos="2430"/>
        </w:tabs>
        <w:spacing w:before="48"/>
        <w:jc w:val="both"/>
        <w:rPr>
          <w:lang w:val="ka-GE"/>
        </w:rPr>
      </w:pPr>
    </w:p>
    <w:p w:rsidR="002C1DE5" w:rsidRDefault="005E3E5F" w:rsidP="00254BEE">
      <w:pPr>
        <w:pStyle w:val="BodyText"/>
        <w:tabs>
          <w:tab w:val="decimal" w:pos="90"/>
          <w:tab w:val="decimal" w:pos="2430"/>
        </w:tabs>
        <w:spacing w:before="48"/>
        <w:jc w:val="both"/>
        <w:rPr>
          <w:lang w:val="ka-GE"/>
        </w:rPr>
      </w:pPr>
      <w:r w:rsidRPr="005E3E5F">
        <w:rPr>
          <w:noProof/>
        </w:rPr>
        <w:drawing>
          <wp:inline distT="0" distB="0" distL="0" distR="0" wp14:anchorId="0EA5583D" wp14:editId="7836CECF">
            <wp:extent cx="6000750" cy="227647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3155" w:rsidRDefault="002C3155" w:rsidP="00254BEE">
      <w:pPr>
        <w:pStyle w:val="BodyText"/>
        <w:tabs>
          <w:tab w:val="decimal" w:pos="90"/>
          <w:tab w:val="decimal" w:pos="2430"/>
        </w:tabs>
        <w:spacing w:before="48"/>
        <w:jc w:val="both"/>
        <w:rPr>
          <w:lang w:val="ka-GE"/>
        </w:rPr>
      </w:pPr>
    </w:p>
    <w:p w:rsidR="002C3155" w:rsidRDefault="002C3155" w:rsidP="00254BEE">
      <w:pPr>
        <w:pStyle w:val="BodyText"/>
        <w:tabs>
          <w:tab w:val="decimal" w:pos="90"/>
          <w:tab w:val="decimal" w:pos="2430"/>
        </w:tabs>
        <w:spacing w:before="48"/>
        <w:jc w:val="both"/>
        <w:rPr>
          <w:lang w:val="ka-GE"/>
        </w:rPr>
      </w:pPr>
    </w:p>
    <w:p w:rsidR="002C3155" w:rsidRDefault="002C3155" w:rsidP="00254BEE">
      <w:pPr>
        <w:pStyle w:val="BodyText"/>
        <w:tabs>
          <w:tab w:val="decimal" w:pos="90"/>
          <w:tab w:val="decimal" w:pos="2430"/>
        </w:tabs>
        <w:spacing w:before="48"/>
        <w:jc w:val="both"/>
        <w:rPr>
          <w:lang w:val="ka-GE"/>
        </w:rPr>
      </w:pPr>
    </w:p>
    <w:p w:rsidR="00625B96" w:rsidRDefault="00625B96" w:rsidP="00254BEE">
      <w:pPr>
        <w:pStyle w:val="Heading1"/>
        <w:spacing w:line="240" w:lineRule="auto"/>
      </w:pPr>
      <w:bookmarkStart w:id="12" w:name="_Toc511217318"/>
      <w:r>
        <w:t>კერძო სექტორის ეკონომიკური აქტივობა</w:t>
      </w:r>
      <w:bookmarkEnd w:id="12"/>
    </w:p>
    <w:p w:rsidR="002C3155" w:rsidRDefault="002C3155" w:rsidP="00254BEE">
      <w:pPr>
        <w:pStyle w:val="BodyText"/>
        <w:tabs>
          <w:tab w:val="decimal" w:pos="90"/>
          <w:tab w:val="decimal" w:pos="2430"/>
        </w:tabs>
        <w:spacing w:before="48"/>
        <w:jc w:val="both"/>
        <w:rPr>
          <w:lang w:val="ka-GE"/>
        </w:rPr>
      </w:pPr>
    </w:p>
    <w:p w:rsidR="00761348" w:rsidRDefault="00761348" w:rsidP="00254BEE">
      <w:pPr>
        <w:pStyle w:val="BodyText"/>
        <w:tabs>
          <w:tab w:val="decimal" w:pos="90"/>
          <w:tab w:val="decimal" w:pos="2430"/>
        </w:tabs>
        <w:spacing w:before="48"/>
        <w:jc w:val="both"/>
        <w:rPr>
          <w:lang w:val="ka-GE"/>
        </w:rPr>
      </w:pPr>
      <w:r>
        <w:rPr>
          <w:lang w:val="ka-GE"/>
        </w:rPr>
        <w:t xml:space="preserve">მნიშვნელოვნად იზრდება ეკონომიკური აქტივობა კერძო სექტორში, რაზეც მიანიშნებს ახალ დარეგისტრირებული საწარმოების ზრდა. 2017 წელს ახალ დარეგისტრირებული საწარმოების რაოდენობამ </w:t>
      </w:r>
      <w:r w:rsidRPr="00BC509A">
        <w:rPr>
          <w:lang w:val="ka-GE"/>
        </w:rPr>
        <w:t>51</w:t>
      </w:r>
      <w:r>
        <w:rPr>
          <w:lang w:val="ka-GE"/>
        </w:rPr>
        <w:t xml:space="preserve"> </w:t>
      </w:r>
      <w:r w:rsidRPr="00BC509A">
        <w:rPr>
          <w:lang w:val="ka-GE"/>
        </w:rPr>
        <w:t>965</w:t>
      </w:r>
      <w:r>
        <w:rPr>
          <w:lang w:val="ka-GE"/>
        </w:rPr>
        <w:t xml:space="preserve"> შეადგინა და წინა წელთან შედარებით 8.4%-ით გაიზარდა, რაც ნიშნავს 4 034-ით მეტ ახალ  საწარმოს წინა წელთან შედარებით.  </w:t>
      </w:r>
    </w:p>
    <w:p w:rsidR="00625B96" w:rsidRDefault="00625B96" w:rsidP="00254BEE">
      <w:pPr>
        <w:pStyle w:val="BodyText"/>
        <w:tabs>
          <w:tab w:val="decimal" w:pos="90"/>
          <w:tab w:val="decimal" w:pos="2430"/>
        </w:tabs>
        <w:spacing w:before="48"/>
        <w:jc w:val="both"/>
        <w:rPr>
          <w:lang w:val="ka-GE"/>
        </w:rPr>
      </w:pPr>
      <w:r>
        <w:rPr>
          <w:lang w:val="ka-GE"/>
        </w:rPr>
        <w:t xml:space="preserve">ეკონომიკური აქტივობის ზრდას, ახალი საწარმოების შექმნასა და არსებულის გაფართოებას მნიშვნელოვნად უწყობს ხელს სახელმწიფო მხარდაჭერის პროგრამები. „აწარმოე საქართველოში“ პროგრამის ფარგლებში დაფინანსდა  </w:t>
      </w:r>
      <w:r w:rsidR="00363A67">
        <w:rPr>
          <w:lang w:val="ka-GE"/>
        </w:rPr>
        <w:t>345</w:t>
      </w:r>
      <w:r>
        <w:rPr>
          <w:lang w:val="ka-GE"/>
        </w:rPr>
        <w:t xml:space="preserve"> საწარმო, განხორციელდა </w:t>
      </w:r>
      <w:r w:rsidR="00363A67">
        <w:rPr>
          <w:lang w:val="ka-GE"/>
        </w:rPr>
        <w:t>855</w:t>
      </w:r>
      <w:r>
        <w:rPr>
          <w:lang w:val="ka-GE"/>
        </w:rPr>
        <w:t xml:space="preserve"> მილიონი ლარის ინვესტიცია და ხელი შეუწყო 1</w:t>
      </w:r>
      <w:r w:rsidR="00363A67">
        <w:rPr>
          <w:lang w:val="ka-GE"/>
        </w:rPr>
        <w:t>4</w:t>
      </w:r>
      <w:r>
        <w:rPr>
          <w:lang w:val="ka-GE"/>
        </w:rPr>
        <w:t xml:space="preserve"> </w:t>
      </w:r>
      <w:r w:rsidR="00363A67">
        <w:rPr>
          <w:lang w:val="ka-GE"/>
        </w:rPr>
        <w:t>0</w:t>
      </w:r>
      <w:r>
        <w:rPr>
          <w:lang w:val="ka-GE"/>
        </w:rPr>
        <w:t>00-</w:t>
      </w:r>
      <w:r w:rsidR="00363A67">
        <w:rPr>
          <w:lang w:val="ka-GE"/>
        </w:rPr>
        <w:t>მდე</w:t>
      </w:r>
      <w:r>
        <w:rPr>
          <w:lang w:val="ka-GE"/>
        </w:rPr>
        <w:t xml:space="preserve"> ახალი სამუშაო ადგილის შექმნას. მათ შორის </w:t>
      </w:r>
      <w:r w:rsidR="00363A67">
        <w:rPr>
          <w:lang w:val="ka-GE"/>
        </w:rPr>
        <w:t>446</w:t>
      </w:r>
      <w:r>
        <w:rPr>
          <w:lang w:val="ka-GE"/>
        </w:rPr>
        <w:t xml:space="preserve"> მილიონი ლარის ინვესტიცია განხორციელდა ახალი საწარმოების შესაქმნელად, ხოლო  </w:t>
      </w:r>
      <w:r w:rsidR="00363A67">
        <w:rPr>
          <w:lang w:val="ka-GE"/>
        </w:rPr>
        <w:t>316</w:t>
      </w:r>
      <w:r>
        <w:rPr>
          <w:lang w:val="ka-GE"/>
        </w:rPr>
        <w:t xml:space="preserve"> მილიონი ლარის ინვესტიცია არსებული საწარმოების გაფართოების მიზნით. ამასთან უძრავი ქონების ხელმისაწვდომობის კომპონენტის ფარგლებში განხორციელებული ინვესტიციის ჯამური ოდენობა </w:t>
      </w:r>
      <w:r w:rsidR="00363A67">
        <w:rPr>
          <w:lang w:val="ka-GE"/>
        </w:rPr>
        <w:t>92</w:t>
      </w:r>
      <w:r>
        <w:rPr>
          <w:lang w:val="ka-GE"/>
        </w:rPr>
        <w:t xml:space="preserve"> მილიონი ლარს შეადგენს.</w:t>
      </w:r>
    </w:p>
    <w:p w:rsidR="00761348" w:rsidRDefault="00761348" w:rsidP="00254BEE">
      <w:pPr>
        <w:pStyle w:val="BodyText"/>
        <w:tabs>
          <w:tab w:val="decimal" w:pos="90"/>
          <w:tab w:val="decimal" w:pos="2430"/>
        </w:tabs>
        <w:spacing w:before="48"/>
        <w:jc w:val="both"/>
        <w:rPr>
          <w:lang w:val="ka-GE"/>
        </w:rPr>
      </w:pPr>
      <w:r>
        <w:rPr>
          <w:lang w:val="ka-GE"/>
        </w:rPr>
        <w:t>მხოლოდ 2017 წელს „აწარმოე საქართველოში“ პროგრამის ფარგლებში 275 მილიონი ლარის ინვესტიცია განხორციელდა</w:t>
      </w:r>
      <w:r w:rsidR="00625B96">
        <w:rPr>
          <w:lang w:val="ka-GE"/>
        </w:rPr>
        <w:t xml:space="preserve"> კერძო სექტორის მიერ</w:t>
      </w:r>
      <w:r>
        <w:rPr>
          <w:lang w:val="ka-GE"/>
        </w:rPr>
        <w:t>. ინვესტიციების 29% განხორციელდა სასტუმროების სფეროში, 28% საკვების და სასმელების</w:t>
      </w:r>
      <w:r w:rsidR="00625B96">
        <w:rPr>
          <w:lang w:val="ka-GE"/>
        </w:rPr>
        <w:t xml:space="preserve"> წარმოების</w:t>
      </w:r>
      <w:r>
        <w:rPr>
          <w:lang w:val="ka-GE"/>
        </w:rPr>
        <w:t xml:space="preserve">, ხოლო 25% სამშენებლო მასალების წარმოების მიმართულებით. </w:t>
      </w:r>
    </w:p>
    <w:p w:rsidR="00625B96" w:rsidRPr="00242AE3" w:rsidRDefault="00625B96" w:rsidP="00254BEE">
      <w:pPr>
        <w:pStyle w:val="BodyText"/>
        <w:tabs>
          <w:tab w:val="decimal" w:pos="90"/>
          <w:tab w:val="decimal" w:pos="2430"/>
        </w:tabs>
        <w:spacing w:before="48"/>
        <w:jc w:val="both"/>
        <w:rPr>
          <w:b/>
          <w:lang w:val="ka-GE"/>
        </w:rPr>
      </w:pPr>
      <w:r w:rsidRPr="00242AE3">
        <w:rPr>
          <w:b/>
          <w:lang w:val="ka-GE"/>
        </w:rPr>
        <w:t>პროგრამის „აწარმოე საქართველოს“ ფარგლებში გაცემული 1 ლარის სუბსიდიით სტიმულირებული სესხის მოცულობა დაახლოებით 11 ლარს,</w:t>
      </w:r>
      <w:r>
        <w:rPr>
          <w:b/>
          <w:lang w:val="ka-GE"/>
        </w:rPr>
        <w:t xml:space="preserve"> ხოლო</w:t>
      </w:r>
      <w:r w:rsidRPr="00242AE3">
        <w:rPr>
          <w:b/>
          <w:lang w:val="ka-GE"/>
        </w:rPr>
        <w:t xml:space="preserve"> სტიმულირებული ინვესტიციის მოცულობა დაახლოებით 19 ლარს</w:t>
      </w:r>
      <w:r>
        <w:rPr>
          <w:b/>
          <w:lang w:val="ka-GE"/>
        </w:rPr>
        <w:t xml:space="preserve"> </w:t>
      </w:r>
      <w:r w:rsidRPr="00242AE3">
        <w:rPr>
          <w:b/>
          <w:lang w:val="ka-GE"/>
        </w:rPr>
        <w:t xml:space="preserve">შეადგენს.  </w:t>
      </w:r>
      <w:r>
        <w:rPr>
          <w:b/>
          <w:lang w:val="ka-GE"/>
        </w:rPr>
        <w:t xml:space="preserve"> </w:t>
      </w:r>
    </w:p>
    <w:p w:rsidR="00EB52CE" w:rsidRPr="00630D10" w:rsidRDefault="00EB52CE" w:rsidP="00254BEE">
      <w:pPr>
        <w:pStyle w:val="BodyText"/>
        <w:tabs>
          <w:tab w:val="decimal" w:pos="90"/>
          <w:tab w:val="decimal" w:pos="2430"/>
        </w:tabs>
        <w:spacing w:before="48"/>
        <w:jc w:val="both"/>
        <w:rPr>
          <w:lang w:val="ka-GE"/>
        </w:rPr>
      </w:pPr>
    </w:p>
    <w:p w:rsidR="00EB52CE" w:rsidRPr="00630D10" w:rsidRDefault="00EB52CE" w:rsidP="00254BEE">
      <w:pPr>
        <w:pStyle w:val="Heading1"/>
        <w:spacing w:line="240" w:lineRule="auto"/>
      </w:pPr>
      <w:bookmarkStart w:id="13" w:name="_bookmark5"/>
      <w:bookmarkStart w:id="14" w:name="_Toc511217319"/>
      <w:bookmarkEnd w:id="13"/>
      <w:r w:rsidRPr="00630D10">
        <w:t>საგარეო ვაჭრობა</w:t>
      </w:r>
      <w:bookmarkEnd w:id="14"/>
    </w:p>
    <w:p w:rsidR="002C3155" w:rsidRDefault="002C3155" w:rsidP="00254BEE">
      <w:pPr>
        <w:pStyle w:val="BodyText"/>
        <w:tabs>
          <w:tab w:val="decimal" w:pos="90"/>
          <w:tab w:val="decimal" w:pos="2430"/>
        </w:tabs>
        <w:jc w:val="both"/>
        <w:rPr>
          <w:lang w:val="ka-GE"/>
        </w:rPr>
      </w:pPr>
    </w:p>
    <w:p w:rsidR="00416397" w:rsidRPr="00630D10" w:rsidRDefault="00416397" w:rsidP="00254BEE">
      <w:pPr>
        <w:pStyle w:val="BodyText"/>
        <w:tabs>
          <w:tab w:val="decimal" w:pos="90"/>
          <w:tab w:val="decimal" w:pos="2430"/>
        </w:tabs>
        <w:jc w:val="both"/>
        <w:rPr>
          <w:lang w:val="ka-GE"/>
        </w:rPr>
      </w:pPr>
      <w:r w:rsidRPr="00630D10">
        <w:rPr>
          <w:lang w:val="ka-GE"/>
        </w:rPr>
        <w:t>2017 წელს ექსპორტი</w:t>
      </w:r>
      <w:r>
        <w:rPr>
          <w:lang w:val="ka-GE"/>
        </w:rPr>
        <w:t xml:space="preserve"> 29.1 პროცენტ</w:t>
      </w:r>
      <w:r w:rsidRPr="00630D10">
        <w:rPr>
          <w:lang w:val="ka-GE"/>
        </w:rPr>
        <w:t>ით</w:t>
      </w:r>
      <w:r w:rsidR="00B854DD">
        <w:rPr>
          <w:lang w:val="ka-GE"/>
        </w:rPr>
        <w:t xml:space="preserve"> (614.8 მლნ აშშ დოლარით)</w:t>
      </w:r>
      <w:r w:rsidRPr="00630D10">
        <w:rPr>
          <w:lang w:val="ka-GE"/>
        </w:rPr>
        <w:t xml:space="preserve"> გაიზარდა და 2 728 მილიონი აშშ დოლარი შეადგინა. </w:t>
      </w:r>
      <w:r w:rsidR="002F6625">
        <w:rPr>
          <w:lang w:val="ka-GE"/>
        </w:rPr>
        <w:t xml:space="preserve">აღსანიშნავია, რომ 2017 წელს ექსპორტის კონკურენტუნარიანობა გაიზარდა რაზეც ნათლად მეტყველებს რეალური ზრდის მაჩვენებელი, რომელმაც 20 პროცენტი შეადგინა, </w:t>
      </w:r>
    </w:p>
    <w:p w:rsidR="00C5556E" w:rsidRDefault="00416397" w:rsidP="00254BEE">
      <w:pPr>
        <w:pStyle w:val="BodyText"/>
        <w:tabs>
          <w:tab w:val="decimal" w:pos="90"/>
          <w:tab w:val="decimal" w:pos="2430"/>
        </w:tabs>
        <w:jc w:val="both"/>
        <w:rPr>
          <w:lang w:val="ka-GE"/>
        </w:rPr>
      </w:pPr>
      <w:r w:rsidRPr="00630D10">
        <w:rPr>
          <w:lang w:val="ka-GE"/>
        </w:rPr>
        <w:t>2017 წელს იმპორტი</w:t>
      </w:r>
      <w:r w:rsidR="0066269B">
        <w:rPr>
          <w:lang w:val="ka-GE"/>
        </w:rPr>
        <w:t xml:space="preserve">ს ზრდამ </w:t>
      </w:r>
      <w:r>
        <w:rPr>
          <w:lang w:val="ka-GE"/>
        </w:rPr>
        <w:t>9.4 პროცენტი</w:t>
      </w:r>
      <w:r w:rsidRPr="00630D10">
        <w:rPr>
          <w:lang w:val="ka-GE"/>
        </w:rPr>
        <w:t xml:space="preserve"> </w:t>
      </w:r>
      <w:r w:rsidR="0066269B">
        <w:rPr>
          <w:lang w:val="ka-GE"/>
        </w:rPr>
        <w:t xml:space="preserve">(687 მლნ დოლარი) </w:t>
      </w:r>
      <w:r w:rsidRPr="00630D10">
        <w:rPr>
          <w:lang w:val="ka-GE"/>
        </w:rPr>
        <w:t>შეადგინა</w:t>
      </w:r>
      <w:r w:rsidR="00B854DD">
        <w:rPr>
          <w:lang w:val="ka-GE"/>
        </w:rPr>
        <w:t xml:space="preserve"> და 7 981 მლნ აშშ დოლარს გაუტოლდა.</w:t>
      </w:r>
      <w:r w:rsidRPr="00630D10">
        <w:rPr>
          <w:lang w:val="ka-GE"/>
        </w:rPr>
        <w:t xml:space="preserve"> </w:t>
      </w:r>
    </w:p>
    <w:p w:rsidR="004B48A7" w:rsidRDefault="00771A45" w:rsidP="00254BEE">
      <w:pPr>
        <w:pStyle w:val="BodyText"/>
        <w:tabs>
          <w:tab w:val="decimal" w:pos="90"/>
          <w:tab w:val="decimal" w:pos="2430"/>
        </w:tabs>
        <w:jc w:val="both"/>
        <w:rPr>
          <w:lang w:val="ka-GE"/>
        </w:rPr>
      </w:pPr>
      <w:r w:rsidRPr="00771A45">
        <w:rPr>
          <w:lang w:val="ka-GE"/>
        </w:rPr>
        <w:t>2017 წელს</w:t>
      </w:r>
      <w:r w:rsidR="00AA5B0F">
        <w:rPr>
          <w:lang w:val="ka-GE"/>
        </w:rPr>
        <w:t xml:space="preserve"> საგარეო სავაჭრო ბრუნვამ 10 709 მლნ აშშ დოლარი შეადგინა და წინა წელთან შედარებით 13.8 პროცენტით (1 302 მლნ აშშ დოლარით) გაიზარდა.</w:t>
      </w:r>
    </w:p>
    <w:p w:rsidR="00EB52CE" w:rsidRDefault="002F6625" w:rsidP="00254BEE">
      <w:pPr>
        <w:pStyle w:val="BodyText"/>
        <w:tabs>
          <w:tab w:val="decimal" w:pos="90"/>
          <w:tab w:val="decimal" w:pos="2430"/>
        </w:tabs>
        <w:jc w:val="both"/>
        <w:rPr>
          <w:lang w:val="ka-GE"/>
        </w:rPr>
      </w:pPr>
      <w:r>
        <w:rPr>
          <w:lang w:val="ka-GE"/>
        </w:rPr>
        <w:t xml:space="preserve">ზრდის ტენდენციები 2018 წელსაც სახეზეა. </w:t>
      </w:r>
      <w:r w:rsidR="00EB52CE" w:rsidRPr="00630D10">
        <w:rPr>
          <w:lang w:val="ka-GE"/>
        </w:rPr>
        <w:t>2018 წლის  იანვარ</w:t>
      </w:r>
      <w:r w:rsidR="001F082F">
        <w:rPr>
          <w:lang w:val="ka-GE"/>
        </w:rPr>
        <w:t>-თებერვალში</w:t>
      </w:r>
      <w:r w:rsidR="00EB52CE" w:rsidRPr="00630D10">
        <w:rPr>
          <w:lang w:val="ka-GE"/>
        </w:rPr>
        <w:t xml:space="preserve"> ექსპორტი 2</w:t>
      </w:r>
      <w:r w:rsidR="001F082F">
        <w:rPr>
          <w:lang w:val="ka-GE"/>
        </w:rPr>
        <w:t>5</w:t>
      </w:r>
      <w:r w:rsidR="00EB52CE" w:rsidRPr="00630D10">
        <w:rPr>
          <w:lang w:val="ka-GE"/>
        </w:rPr>
        <w:t>.</w:t>
      </w:r>
      <w:r w:rsidR="001F082F">
        <w:rPr>
          <w:lang w:val="ka-GE"/>
        </w:rPr>
        <w:t>5</w:t>
      </w:r>
      <w:r w:rsidR="00EB52CE">
        <w:rPr>
          <w:lang w:val="ka-GE"/>
        </w:rPr>
        <w:t xml:space="preserve"> პროცენტ</w:t>
      </w:r>
      <w:r w:rsidR="00EB52CE" w:rsidRPr="00630D10">
        <w:rPr>
          <w:lang w:val="ka-GE"/>
        </w:rPr>
        <w:t>ით</w:t>
      </w:r>
      <w:r w:rsidR="00101FD9">
        <w:rPr>
          <w:lang w:val="ka-GE"/>
        </w:rPr>
        <w:t xml:space="preserve"> (</w:t>
      </w:r>
      <w:r w:rsidR="00EB3760">
        <w:t>90.7</w:t>
      </w:r>
      <w:r w:rsidR="00BC184D">
        <w:rPr>
          <w:lang w:val="ka-GE"/>
        </w:rPr>
        <w:t xml:space="preserve"> მლნ. აშშ. დოლარით) გაიზარდა და </w:t>
      </w:r>
      <w:r w:rsidR="00EB3760">
        <w:t>446.4</w:t>
      </w:r>
      <w:r w:rsidR="00BC184D">
        <w:rPr>
          <w:lang w:val="ka-GE"/>
        </w:rPr>
        <w:t xml:space="preserve"> მლნ. აშშ. დოლარი შეადგინა</w:t>
      </w:r>
      <w:r>
        <w:rPr>
          <w:lang w:val="ka-GE"/>
        </w:rPr>
        <w:t xml:space="preserve">.  </w:t>
      </w:r>
      <w:r w:rsidR="00EB52CE" w:rsidRPr="00630D10">
        <w:rPr>
          <w:lang w:val="ka-GE"/>
        </w:rPr>
        <w:t>იმპორტი 1</w:t>
      </w:r>
      <w:r w:rsidR="00EB3760">
        <w:t>3.3</w:t>
      </w:r>
      <w:r w:rsidR="00EB52CE">
        <w:rPr>
          <w:lang w:val="ka-GE"/>
        </w:rPr>
        <w:t xml:space="preserve"> პროცენტ</w:t>
      </w:r>
      <w:r w:rsidR="00EB52CE" w:rsidRPr="00630D10">
        <w:rPr>
          <w:lang w:val="ka-GE"/>
        </w:rPr>
        <w:t>ით</w:t>
      </w:r>
      <w:r w:rsidR="00BC184D">
        <w:rPr>
          <w:lang w:val="ka-GE"/>
        </w:rPr>
        <w:t xml:space="preserve"> (</w:t>
      </w:r>
      <w:r w:rsidR="00EB3760">
        <w:t>145.5</w:t>
      </w:r>
      <w:r w:rsidR="00016607">
        <w:rPr>
          <w:lang w:val="ka-GE"/>
        </w:rPr>
        <w:t xml:space="preserve"> მლნ. აშშ. დოლარით) </w:t>
      </w:r>
      <w:r w:rsidR="00EB52CE" w:rsidRPr="00630D10">
        <w:rPr>
          <w:lang w:val="ka-GE"/>
        </w:rPr>
        <w:t xml:space="preserve"> გაიზარდა</w:t>
      </w:r>
      <w:r w:rsidR="00016607">
        <w:rPr>
          <w:lang w:val="ka-GE"/>
        </w:rPr>
        <w:t xml:space="preserve"> და </w:t>
      </w:r>
      <w:r w:rsidR="00EB3760">
        <w:t xml:space="preserve"> 1,237.1</w:t>
      </w:r>
      <w:r w:rsidR="00016607">
        <w:rPr>
          <w:lang w:val="ka-GE"/>
        </w:rPr>
        <w:t xml:space="preserve"> მლნ. აშშ. დოლარს გაუტოლდა</w:t>
      </w:r>
      <w:r w:rsidR="00EB52CE" w:rsidRPr="00630D10">
        <w:rPr>
          <w:lang w:val="ka-GE"/>
        </w:rPr>
        <w:t>.</w:t>
      </w:r>
      <w:r w:rsidR="002D3C4C">
        <w:rPr>
          <w:lang w:val="ka-GE"/>
        </w:rPr>
        <w:t xml:space="preserve"> </w:t>
      </w:r>
    </w:p>
    <w:p w:rsidR="00EB52CE" w:rsidRDefault="00761348" w:rsidP="00254BEE">
      <w:pPr>
        <w:pStyle w:val="BodyText"/>
        <w:tabs>
          <w:tab w:val="decimal" w:pos="90"/>
          <w:tab w:val="decimal" w:pos="2430"/>
        </w:tabs>
        <w:ind w:right="36"/>
        <w:jc w:val="both"/>
        <w:rPr>
          <w:lang w:val="ka-GE"/>
        </w:rPr>
      </w:pPr>
      <w:r>
        <w:rPr>
          <w:lang w:val="ka-GE"/>
        </w:rPr>
        <w:t xml:space="preserve">2017 წელს ყველაზე მსხვილ საექსპორტო პროდუქტებს წარმოადგენდა: სპილენძის მადნები და კონცენტრატები (მთლიანი ექსპორტის 15%), ფეროშენადნობი (11%), მსუბუქი ავტომობილები (9%), ყურძნის ნატურალური ღვინოები (6%), სამკურნალო საშუალებები (5%) და სპირტიანი სასმელები (5%). მსხვილი საექსპორტო პროდუქტებიდან მნიშვნელოვნად გაიზარდა: ფეროშენადნობის (ზრდა 81%), სპილენძის მადნების და კონცენტრატების (34%), მსუბუქი ავტომობილების (41%), ყურძნის ნატურალური ღვინოების (51%), სპირტიანი სასმელების (38%), სამკურნალო საშუალებების (31%) და მინერალური და მტკნარი წყლების ექსპორტი (20%). </w:t>
      </w:r>
      <w:r w:rsidR="00EB52CE" w:rsidRPr="00630D10">
        <w:rPr>
          <w:noProof/>
        </w:rPr>
        <w:drawing>
          <wp:inline distT="0" distB="0" distL="0" distR="0" wp14:anchorId="69A8D34F" wp14:editId="0CBF5E23">
            <wp:extent cx="6365630" cy="2329961"/>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5144D" w:rsidRPr="00AE0B31" w:rsidRDefault="0045144D" w:rsidP="00254BEE">
      <w:pPr>
        <w:pStyle w:val="BodyText"/>
        <w:tabs>
          <w:tab w:val="decimal" w:pos="90"/>
          <w:tab w:val="decimal" w:pos="2430"/>
        </w:tabs>
        <w:jc w:val="both"/>
        <w:rPr>
          <w:lang w:val="ka-GE"/>
        </w:rPr>
      </w:pPr>
    </w:p>
    <w:p w:rsidR="00EB52CE" w:rsidRPr="00630D10" w:rsidRDefault="00EB52CE" w:rsidP="00254BEE">
      <w:pPr>
        <w:pStyle w:val="Heading1"/>
        <w:spacing w:line="240" w:lineRule="auto"/>
      </w:pPr>
      <w:bookmarkStart w:id="15" w:name="_Toc511217320"/>
      <w:r w:rsidRPr="00630D10">
        <w:t>ტურიზმი</w:t>
      </w:r>
      <w:bookmarkEnd w:id="15"/>
    </w:p>
    <w:p w:rsidR="002C3155" w:rsidRDefault="002C3155" w:rsidP="00254BEE">
      <w:pPr>
        <w:pStyle w:val="BodyText"/>
        <w:tabs>
          <w:tab w:val="decimal" w:pos="90"/>
          <w:tab w:val="decimal" w:pos="2430"/>
        </w:tabs>
        <w:spacing w:before="50"/>
        <w:jc w:val="both"/>
        <w:rPr>
          <w:lang w:val="ka-GE"/>
        </w:rPr>
      </w:pPr>
    </w:p>
    <w:p w:rsidR="00EB52CE" w:rsidRPr="0064133E" w:rsidRDefault="00EB52CE" w:rsidP="00254BEE">
      <w:pPr>
        <w:pStyle w:val="BodyText"/>
        <w:tabs>
          <w:tab w:val="decimal" w:pos="90"/>
          <w:tab w:val="decimal" w:pos="2430"/>
        </w:tabs>
        <w:spacing w:before="50"/>
        <w:jc w:val="both"/>
        <w:rPr>
          <w:lang w:val="ka-GE"/>
        </w:rPr>
      </w:pPr>
      <w:r w:rsidRPr="00630D10">
        <w:rPr>
          <w:lang w:val="ka-GE"/>
        </w:rPr>
        <w:t xml:space="preserve">ბოლო 5 წლის განმავლობაში ტურიზმი ეკონომიკის ერთ-ერთ მნიშვნელოვან სექტორად ჩამოყალიბდა. </w:t>
      </w:r>
      <w:r w:rsidRPr="002F6625">
        <w:rPr>
          <w:b/>
          <w:lang w:val="ka-GE"/>
        </w:rPr>
        <w:t>2017 წელს საერთაშორისო ტურიზმიდან შემოსავლებ</w:t>
      </w:r>
      <w:r w:rsidR="008D27D5" w:rsidRPr="002F6625">
        <w:rPr>
          <w:b/>
          <w:lang w:val="ka-GE"/>
        </w:rPr>
        <w:t>ი 27.</w:t>
      </w:r>
      <w:r w:rsidR="00DD6933">
        <w:rPr>
          <w:b/>
          <w:lang w:val="ka-GE"/>
        </w:rPr>
        <w:t>1</w:t>
      </w:r>
      <w:r w:rsidR="008D27D5" w:rsidRPr="002F6625">
        <w:rPr>
          <w:b/>
          <w:lang w:val="ka-GE"/>
        </w:rPr>
        <w:t xml:space="preserve"> პროცენტით გაიზარდა</w:t>
      </w:r>
      <w:r w:rsidR="009F0A66" w:rsidRPr="002F6625">
        <w:rPr>
          <w:b/>
          <w:lang w:val="ka-GE"/>
        </w:rPr>
        <w:t xml:space="preserve"> და</w:t>
      </w:r>
      <w:r w:rsidR="008D27D5" w:rsidRPr="002F6625">
        <w:rPr>
          <w:b/>
          <w:lang w:val="ka-GE"/>
        </w:rPr>
        <w:t xml:space="preserve"> </w:t>
      </w:r>
      <w:r w:rsidR="009F0A66" w:rsidRPr="002F6625">
        <w:rPr>
          <w:b/>
          <w:lang w:val="ka-GE"/>
        </w:rPr>
        <w:t xml:space="preserve">2.75  </w:t>
      </w:r>
      <w:proofErr w:type="spellStart"/>
      <w:r w:rsidR="009F0A66" w:rsidRPr="002F6625">
        <w:rPr>
          <w:b/>
          <w:lang w:val="ka-GE"/>
        </w:rPr>
        <w:t>მლრდ</w:t>
      </w:r>
      <w:proofErr w:type="spellEnd"/>
      <w:r w:rsidR="009F0A66" w:rsidRPr="002F6625">
        <w:rPr>
          <w:b/>
          <w:lang w:val="ka-GE"/>
        </w:rPr>
        <w:t>. დოლარს გადააჭარბა.</w:t>
      </w:r>
      <w:r w:rsidR="009F0A66">
        <w:rPr>
          <w:lang w:val="ka-GE"/>
        </w:rPr>
        <w:t xml:space="preserve"> </w:t>
      </w:r>
      <w:r w:rsidR="00933471">
        <w:rPr>
          <w:b/>
          <w:lang w:val="ka-GE"/>
        </w:rPr>
        <w:t xml:space="preserve">2016 </w:t>
      </w:r>
      <w:r w:rsidR="00933471" w:rsidRPr="002F6625">
        <w:rPr>
          <w:b/>
          <w:lang w:val="ka-GE"/>
        </w:rPr>
        <w:t xml:space="preserve"> </w:t>
      </w:r>
      <w:r w:rsidR="009F0A66" w:rsidRPr="002F6625">
        <w:rPr>
          <w:b/>
          <w:lang w:val="ka-GE"/>
        </w:rPr>
        <w:t xml:space="preserve">წელთან შედარებით ტურიზმმა </w:t>
      </w:r>
      <w:r w:rsidR="003D440D" w:rsidRPr="002F6625">
        <w:rPr>
          <w:b/>
          <w:lang w:val="ka-GE"/>
        </w:rPr>
        <w:t>58</w:t>
      </w:r>
      <w:r w:rsidR="00E643DB">
        <w:rPr>
          <w:b/>
        </w:rPr>
        <w:t>7</w:t>
      </w:r>
      <w:r w:rsidR="003D440D" w:rsidRPr="002F6625">
        <w:rPr>
          <w:b/>
          <w:lang w:val="ka-GE"/>
        </w:rPr>
        <w:t>.</w:t>
      </w:r>
      <w:r w:rsidR="00E643DB">
        <w:rPr>
          <w:b/>
        </w:rPr>
        <w:t>3</w:t>
      </w:r>
      <w:r w:rsidR="003D440D" w:rsidRPr="002F6625">
        <w:rPr>
          <w:b/>
          <w:lang w:val="ka-GE"/>
        </w:rPr>
        <w:t xml:space="preserve"> მილიონი აშშ დოლარით მეტი სავალუტო შემოდინება </w:t>
      </w:r>
      <w:proofErr w:type="spellStart"/>
      <w:r w:rsidR="003D440D" w:rsidRPr="002F6625">
        <w:rPr>
          <w:b/>
          <w:lang w:val="ka-GE"/>
        </w:rPr>
        <w:t>დააგენერირა</w:t>
      </w:r>
      <w:proofErr w:type="spellEnd"/>
      <w:r w:rsidR="009F0A66" w:rsidRPr="002F6625">
        <w:rPr>
          <w:b/>
          <w:lang w:val="ka-GE"/>
        </w:rPr>
        <w:t xml:space="preserve"> ეკონომიკაში</w:t>
      </w:r>
      <w:r w:rsidR="000740CC" w:rsidRPr="002F6625">
        <w:rPr>
          <w:b/>
          <w:lang w:val="ka-GE"/>
        </w:rPr>
        <w:t>.</w:t>
      </w:r>
      <w:r w:rsidRPr="00630D10">
        <w:rPr>
          <w:lang w:val="ka-GE"/>
        </w:rPr>
        <w:t xml:space="preserve"> </w:t>
      </w:r>
      <w:r w:rsidR="0064133E">
        <w:t xml:space="preserve"> </w:t>
      </w:r>
      <w:r w:rsidR="0064133E">
        <w:rPr>
          <w:lang w:val="ka-GE"/>
        </w:rPr>
        <w:t xml:space="preserve">ამასთან, </w:t>
      </w:r>
      <w:r w:rsidR="009F0A66">
        <w:rPr>
          <w:lang w:val="ka-GE"/>
        </w:rPr>
        <w:t>აღსანიშნავია, რომ</w:t>
      </w:r>
      <w:r w:rsidR="0064133E">
        <w:rPr>
          <w:lang w:val="ka-GE"/>
        </w:rPr>
        <w:t xml:space="preserve"> გაიზარდა ვიზიტორის საშუალო დანახარჯი</w:t>
      </w:r>
      <w:r w:rsidR="00E772CA">
        <w:rPr>
          <w:lang w:val="ka-GE"/>
        </w:rPr>
        <w:t xml:space="preserve"> </w:t>
      </w:r>
      <w:r w:rsidR="0064133E">
        <w:rPr>
          <w:lang w:val="ka-GE"/>
        </w:rPr>
        <w:t>და 2017 წელს</w:t>
      </w:r>
      <w:r w:rsidR="003D440D">
        <w:rPr>
          <w:lang w:val="ka-GE"/>
        </w:rPr>
        <w:t xml:space="preserve"> </w:t>
      </w:r>
      <w:r w:rsidR="0064133E">
        <w:rPr>
          <w:lang w:val="ka-GE"/>
        </w:rPr>
        <w:t>364 აშშ. დოლარი შეადგინა</w:t>
      </w:r>
      <w:r w:rsidR="00E772CA">
        <w:rPr>
          <w:lang w:val="ka-GE"/>
        </w:rPr>
        <w:t xml:space="preserve"> (2016 წელს აღნიშნული მა</w:t>
      </w:r>
      <w:r w:rsidR="0025149B">
        <w:rPr>
          <w:lang w:val="ka-GE"/>
        </w:rPr>
        <w:t>ჩვენებელი 340 დოლარ</w:t>
      </w:r>
      <w:r w:rsidR="009F0A66">
        <w:rPr>
          <w:lang w:val="ka-GE"/>
        </w:rPr>
        <w:t>ი იყო</w:t>
      </w:r>
      <w:r w:rsidR="0025149B">
        <w:rPr>
          <w:lang w:val="ka-GE"/>
        </w:rPr>
        <w:t>)</w:t>
      </w:r>
      <w:r w:rsidR="0064133E">
        <w:rPr>
          <w:lang w:val="ka-GE"/>
        </w:rPr>
        <w:t>, რაც მაღალ</w:t>
      </w:r>
      <w:r w:rsidR="00E044EB">
        <w:rPr>
          <w:lang w:val="ka-GE"/>
        </w:rPr>
        <w:t xml:space="preserve"> </w:t>
      </w:r>
      <w:r w:rsidR="0064133E">
        <w:rPr>
          <w:lang w:val="ka-GE"/>
        </w:rPr>
        <w:t xml:space="preserve">მხარჯველი </w:t>
      </w:r>
      <w:r w:rsidR="00E044EB">
        <w:rPr>
          <w:lang w:val="ka-GE"/>
        </w:rPr>
        <w:t xml:space="preserve">სეგმენტის ზრდაზე მიანიშნებს. </w:t>
      </w:r>
      <w:r w:rsidR="00270B9C">
        <w:rPr>
          <w:lang w:val="ka-GE"/>
        </w:rPr>
        <w:t xml:space="preserve"> </w:t>
      </w:r>
    </w:p>
    <w:p w:rsidR="00876D4A" w:rsidRDefault="00876D4A" w:rsidP="00254BEE">
      <w:pPr>
        <w:pStyle w:val="BodyText"/>
        <w:tabs>
          <w:tab w:val="decimal" w:pos="90"/>
          <w:tab w:val="decimal" w:pos="2430"/>
        </w:tabs>
        <w:spacing w:before="50"/>
        <w:jc w:val="both"/>
        <w:rPr>
          <w:lang w:val="ka-GE"/>
        </w:rPr>
      </w:pPr>
      <w:r w:rsidRPr="002F6625">
        <w:rPr>
          <w:b/>
          <w:lang w:val="ka-GE"/>
        </w:rPr>
        <w:t xml:space="preserve">2017 წელს საერთაშორისო ვიზიტორების რაოდენობამ </w:t>
      </w:r>
      <w:r w:rsidR="00B2050C" w:rsidRPr="002F6625">
        <w:rPr>
          <w:b/>
          <w:lang w:val="ka-GE"/>
        </w:rPr>
        <w:t>რეკორდულ მაჩვენებელს 7.6 მილიონს</w:t>
      </w:r>
      <w:r w:rsidR="00704823" w:rsidRPr="002F6625">
        <w:rPr>
          <w:b/>
          <w:lang w:val="ka-GE"/>
        </w:rPr>
        <w:t xml:space="preserve"> მიაღწია</w:t>
      </w:r>
      <w:r w:rsidR="00B2050C" w:rsidRPr="002F6625">
        <w:rPr>
          <w:b/>
          <w:lang w:val="ka-GE"/>
        </w:rPr>
        <w:t xml:space="preserve">  </w:t>
      </w:r>
      <w:r w:rsidR="00D76CE5" w:rsidRPr="002F6625">
        <w:rPr>
          <w:b/>
          <w:lang w:val="ka-GE"/>
        </w:rPr>
        <w:t>და წინა წელთან შედარებით</w:t>
      </w:r>
      <w:r w:rsidR="00445C20" w:rsidRPr="002F6625">
        <w:rPr>
          <w:b/>
          <w:lang w:val="ka-GE"/>
        </w:rPr>
        <w:t xml:space="preserve"> 18.8 პროცენტ</w:t>
      </w:r>
      <w:r w:rsidR="00D76CE5" w:rsidRPr="002F6625">
        <w:rPr>
          <w:b/>
          <w:lang w:val="ka-GE"/>
        </w:rPr>
        <w:t>ით გაიზარდა.</w:t>
      </w:r>
      <w:r w:rsidR="00D76CE5">
        <w:rPr>
          <w:lang w:val="ka-GE"/>
        </w:rPr>
        <w:t xml:space="preserve"> </w:t>
      </w:r>
      <w:r w:rsidR="00704823" w:rsidRPr="00704823">
        <w:rPr>
          <w:lang w:val="ka-GE"/>
        </w:rPr>
        <w:t>ვიზიტორების ზრდის პარალელურად იზრდება ტურისტული ნაკადების დივერსიფიკაციის დონე.</w:t>
      </w:r>
      <w:r w:rsidR="009F0A66">
        <w:rPr>
          <w:lang w:val="ka-GE"/>
        </w:rPr>
        <w:t xml:space="preserve"> </w:t>
      </w:r>
      <w:r w:rsidR="00704823" w:rsidRPr="00704823">
        <w:rPr>
          <w:lang w:val="ka-GE"/>
        </w:rPr>
        <w:t>მეზობელი ქვეყნების წილი საერთაშორისო ვიზიტორებში</w:t>
      </w:r>
      <w:r w:rsidR="00445C20">
        <w:rPr>
          <w:lang w:val="ka-GE"/>
        </w:rPr>
        <w:t xml:space="preserve"> 84 პროცენტი</w:t>
      </w:r>
      <w:r w:rsidR="00704823" w:rsidRPr="00704823">
        <w:rPr>
          <w:lang w:val="ka-GE"/>
        </w:rPr>
        <w:t>დან</w:t>
      </w:r>
      <w:r w:rsidR="00445C20">
        <w:rPr>
          <w:lang w:val="ka-GE"/>
        </w:rPr>
        <w:t xml:space="preserve"> 80 პროცენტა</w:t>
      </w:r>
      <w:r w:rsidR="00704823" w:rsidRPr="00704823">
        <w:rPr>
          <w:lang w:val="ka-GE"/>
        </w:rPr>
        <w:t>მდე შემცირდა.</w:t>
      </w:r>
      <w:r w:rsidR="00704823">
        <w:rPr>
          <w:lang w:val="ka-GE"/>
        </w:rPr>
        <w:t xml:space="preserve"> </w:t>
      </w:r>
    </w:p>
    <w:p w:rsidR="00EB52CE" w:rsidRPr="00630D10" w:rsidRDefault="002F6625" w:rsidP="00254BEE">
      <w:pPr>
        <w:pStyle w:val="BodyText"/>
        <w:tabs>
          <w:tab w:val="decimal" w:pos="90"/>
          <w:tab w:val="decimal" w:pos="2430"/>
        </w:tabs>
        <w:spacing w:before="50"/>
        <w:jc w:val="both"/>
        <w:rPr>
          <w:lang w:val="ka-GE"/>
        </w:rPr>
      </w:pPr>
      <w:r>
        <w:rPr>
          <w:lang w:val="ka-GE"/>
        </w:rPr>
        <w:t xml:space="preserve">დადებითი ტენდენცია </w:t>
      </w:r>
      <w:r w:rsidR="00EB52CE">
        <w:rPr>
          <w:lang w:val="ka-GE"/>
        </w:rPr>
        <w:t>2018 წ</w:t>
      </w:r>
      <w:r>
        <w:rPr>
          <w:lang w:val="ka-GE"/>
        </w:rPr>
        <w:t xml:space="preserve">ელსაც </w:t>
      </w:r>
      <w:r w:rsidR="0050545E">
        <w:rPr>
          <w:lang w:val="ka-GE"/>
        </w:rPr>
        <w:t>გრძელდება.</w:t>
      </w:r>
      <w:r>
        <w:rPr>
          <w:lang w:val="ka-GE"/>
        </w:rPr>
        <w:t xml:space="preserve"> </w:t>
      </w:r>
      <w:r w:rsidR="00EB52CE" w:rsidRPr="0050545E">
        <w:rPr>
          <w:b/>
          <w:lang w:val="ka-GE"/>
        </w:rPr>
        <w:t>იანვარ</w:t>
      </w:r>
      <w:r w:rsidR="00E643DB" w:rsidRPr="0050545E">
        <w:rPr>
          <w:b/>
        </w:rPr>
        <w:t>-</w:t>
      </w:r>
      <w:r w:rsidR="00E643DB" w:rsidRPr="0050545E">
        <w:rPr>
          <w:b/>
          <w:lang w:val="ka-GE"/>
        </w:rPr>
        <w:t>მარტში</w:t>
      </w:r>
      <w:r w:rsidR="00EB52CE" w:rsidRPr="0050545E">
        <w:rPr>
          <w:b/>
          <w:lang w:val="ka-GE"/>
        </w:rPr>
        <w:t xml:space="preserve"> ტურიზმიდან შემოსავლები წლიურად 2</w:t>
      </w:r>
      <w:r w:rsidR="00C14658" w:rsidRPr="0050545E">
        <w:rPr>
          <w:b/>
        </w:rPr>
        <w:t>8</w:t>
      </w:r>
      <w:r w:rsidR="00EB52CE" w:rsidRPr="0050545E">
        <w:rPr>
          <w:b/>
          <w:lang w:val="ka-GE"/>
        </w:rPr>
        <w:t>.</w:t>
      </w:r>
      <w:r w:rsidR="00C14658" w:rsidRPr="0050545E">
        <w:rPr>
          <w:b/>
        </w:rPr>
        <w:t>8</w:t>
      </w:r>
      <w:r w:rsidR="00EB52CE" w:rsidRPr="0050545E">
        <w:rPr>
          <w:b/>
          <w:lang w:val="ka-GE"/>
        </w:rPr>
        <w:t xml:space="preserve">%-ით </w:t>
      </w:r>
      <w:r w:rsidR="00EB52CE" w:rsidRPr="00514112">
        <w:rPr>
          <w:lang w:val="ka-GE"/>
        </w:rPr>
        <w:t>(</w:t>
      </w:r>
      <w:r w:rsidR="00C14658">
        <w:t>125.5</w:t>
      </w:r>
      <w:r w:rsidR="00EB52CE" w:rsidRPr="00514112">
        <w:rPr>
          <w:lang w:val="ka-GE"/>
        </w:rPr>
        <w:t xml:space="preserve"> მლნ. აშშ დოლარით) </w:t>
      </w:r>
      <w:r w:rsidR="00EB52CE" w:rsidRPr="0050545E">
        <w:rPr>
          <w:b/>
          <w:lang w:val="ka-GE"/>
        </w:rPr>
        <w:t>გაიზარდა</w:t>
      </w:r>
      <w:r w:rsidR="00EB52CE" w:rsidRPr="00514112">
        <w:rPr>
          <w:lang w:val="ka-GE"/>
        </w:rPr>
        <w:t xml:space="preserve"> და </w:t>
      </w:r>
      <w:r w:rsidR="00627DF7">
        <w:t>560.4</w:t>
      </w:r>
      <w:r w:rsidR="00EB52CE" w:rsidRPr="00514112">
        <w:rPr>
          <w:lang w:val="ka-GE"/>
        </w:rPr>
        <w:t xml:space="preserve"> მლნ აშშ დოლარი შეადგინა.</w:t>
      </w:r>
      <w:r w:rsidR="00A02209">
        <w:rPr>
          <w:lang w:val="ka-GE"/>
        </w:rPr>
        <w:t xml:space="preserve"> </w:t>
      </w:r>
      <w:r w:rsidR="0022224C">
        <w:rPr>
          <w:lang w:val="ka-GE"/>
        </w:rPr>
        <w:t xml:space="preserve"> </w:t>
      </w:r>
      <w:r w:rsidR="0022224C" w:rsidRPr="0050545E">
        <w:rPr>
          <w:lang w:val="ka-GE"/>
        </w:rPr>
        <w:t xml:space="preserve">ვიზიტორების </w:t>
      </w:r>
      <w:r w:rsidR="00445C20" w:rsidRPr="0050545E">
        <w:rPr>
          <w:lang w:val="ka-GE"/>
        </w:rPr>
        <w:t>რაოდენობა</w:t>
      </w:r>
      <w:r w:rsidR="0022224C" w:rsidRPr="0050545E">
        <w:rPr>
          <w:lang w:val="ka-GE"/>
        </w:rPr>
        <w:t xml:space="preserve">  </w:t>
      </w:r>
      <w:r w:rsidR="00445C20" w:rsidRPr="0050545E">
        <w:rPr>
          <w:lang w:val="ka-GE"/>
        </w:rPr>
        <w:t>იანვარ-</w:t>
      </w:r>
      <w:r w:rsidR="00627DF7" w:rsidRPr="0050545E">
        <w:rPr>
          <w:lang w:val="ka-GE"/>
        </w:rPr>
        <w:t>მარტში</w:t>
      </w:r>
      <w:r w:rsidR="0022224C" w:rsidRPr="0050545E">
        <w:rPr>
          <w:lang w:val="ka-GE"/>
        </w:rPr>
        <w:t xml:space="preserve"> </w:t>
      </w:r>
      <w:r w:rsidR="00445C20" w:rsidRPr="0050545E">
        <w:rPr>
          <w:lang w:val="ka-GE"/>
        </w:rPr>
        <w:t>1</w:t>
      </w:r>
      <w:r w:rsidR="00DF4002" w:rsidRPr="0050545E">
        <w:t>5</w:t>
      </w:r>
      <w:r w:rsidR="00445C20" w:rsidRPr="0050545E">
        <w:rPr>
          <w:lang w:val="ka-GE"/>
        </w:rPr>
        <w:t>.</w:t>
      </w:r>
      <w:r w:rsidR="00DF4002" w:rsidRPr="0050545E">
        <w:t>5</w:t>
      </w:r>
      <w:r w:rsidR="00445C20" w:rsidRPr="0050545E">
        <w:rPr>
          <w:lang w:val="ka-GE"/>
        </w:rPr>
        <w:t xml:space="preserve"> პროცენტით </w:t>
      </w:r>
      <w:r w:rsidR="006C182D" w:rsidRPr="0050545E">
        <w:rPr>
          <w:lang w:val="ka-GE"/>
        </w:rPr>
        <w:t>გაიზარდა</w:t>
      </w:r>
      <w:r w:rsidR="00445C20">
        <w:rPr>
          <w:lang w:val="ka-GE"/>
        </w:rPr>
        <w:t xml:space="preserve"> და </w:t>
      </w:r>
      <w:r w:rsidR="00DF4002">
        <w:t>1,463.6</w:t>
      </w:r>
      <w:r w:rsidR="00DF4002">
        <w:rPr>
          <w:lang w:val="ka-GE"/>
        </w:rPr>
        <w:t xml:space="preserve"> </w:t>
      </w:r>
      <w:r w:rsidR="006C182D">
        <w:rPr>
          <w:lang w:val="ka-GE"/>
        </w:rPr>
        <w:t>ათასი შეადგინა</w:t>
      </w:r>
      <w:r w:rsidR="0050545E">
        <w:rPr>
          <w:lang w:val="ka-GE"/>
        </w:rPr>
        <w:t xml:space="preserve">, მათ შორის </w:t>
      </w:r>
      <w:r w:rsidR="0050545E" w:rsidRPr="0050545E">
        <w:rPr>
          <w:b/>
          <w:lang w:val="ka-GE"/>
        </w:rPr>
        <w:t>ტურისტების რაოდენობა 28.2 პროცენტით გაიზარდა</w:t>
      </w:r>
      <w:r w:rsidR="0050545E">
        <w:rPr>
          <w:b/>
          <w:lang w:val="ka-GE"/>
        </w:rPr>
        <w:t>.</w:t>
      </w:r>
      <w:r w:rsidR="006C182D">
        <w:rPr>
          <w:lang w:val="ka-GE"/>
        </w:rPr>
        <w:t xml:space="preserve"> </w:t>
      </w:r>
      <w:r w:rsidR="00DA1FA3" w:rsidRPr="00DA1FA3">
        <w:rPr>
          <w:lang w:val="ka-GE"/>
        </w:rPr>
        <w:t xml:space="preserve">პოზიტიური ტენდენცია ნარჩუნდება ევროკავშირის ქვეყნების მიმართულებიდან, საიდანაც საქართველოში </w:t>
      </w:r>
      <w:r w:rsidR="00DA1FA3">
        <w:rPr>
          <w:lang w:val="ka-GE"/>
        </w:rPr>
        <w:t>ვიზიტორების</w:t>
      </w:r>
      <w:r w:rsidR="00DA1FA3" w:rsidRPr="00DA1FA3">
        <w:rPr>
          <w:lang w:val="ka-GE"/>
        </w:rPr>
        <w:t xml:space="preserve"> რაოდენობის ზრდის კუთხით</w:t>
      </w:r>
      <w:r w:rsidR="00DA1FA3">
        <w:rPr>
          <w:lang w:val="ka-GE"/>
        </w:rPr>
        <w:t xml:space="preserve"> </w:t>
      </w:r>
      <w:r w:rsidR="00DA1FA3" w:rsidRPr="00DA1FA3">
        <w:rPr>
          <w:lang w:val="ka-GE"/>
        </w:rPr>
        <w:t>გამოირჩ</w:t>
      </w:r>
      <w:r w:rsidR="00DA1FA3">
        <w:rPr>
          <w:lang w:val="ka-GE"/>
        </w:rPr>
        <w:t>ეოდ</w:t>
      </w:r>
      <w:r w:rsidR="00DA1FA3" w:rsidRPr="00DA1FA3">
        <w:rPr>
          <w:lang w:val="ka-GE"/>
        </w:rPr>
        <w:t xml:space="preserve">ნენ: </w:t>
      </w:r>
      <w:r w:rsidR="00592EF1">
        <w:rPr>
          <w:lang w:val="ka-GE"/>
        </w:rPr>
        <w:t>ესპანეთი</w:t>
      </w:r>
      <w:r w:rsidR="003F1B1C">
        <w:rPr>
          <w:lang w:val="ka-GE"/>
        </w:rPr>
        <w:t xml:space="preserve"> (ზრდა </w:t>
      </w:r>
      <w:r w:rsidR="00592EF1">
        <w:rPr>
          <w:lang w:val="ka-GE"/>
        </w:rPr>
        <w:t>79</w:t>
      </w:r>
      <w:r w:rsidR="00DA1FA3" w:rsidRPr="00DA1FA3">
        <w:rPr>
          <w:lang w:val="ka-GE"/>
        </w:rPr>
        <w:t>%</w:t>
      </w:r>
      <w:r w:rsidR="003F1B1C">
        <w:rPr>
          <w:lang w:val="ka-GE"/>
        </w:rPr>
        <w:t>)</w:t>
      </w:r>
      <w:r w:rsidR="00DA1FA3" w:rsidRPr="00DA1FA3">
        <w:rPr>
          <w:lang w:val="ka-GE"/>
        </w:rPr>
        <w:t xml:space="preserve">, </w:t>
      </w:r>
      <w:r w:rsidR="00592EF1">
        <w:rPr>
          <w:lang w:val="ka-GE"/>
        </w:rPr>
        <w:t xml:space="preserve">გაერთიანებული სამეფო </w:t>
      </w:r>
      <w:r w:rsidR="003F1B1C">
        <w:rPr>
          <w:lang w:val="ka-GE"/>
        </w:rPr>
        <w:t>(</w:t>
      </w:r>
      <w:r w:rsidR="00592EF1">
        <w:rPr>
          <w:lang w:val="ka-GE"/>
        </w:rPr>
        <w:t>53</w:t>
      </w:r>
      <w:r w:rsidR="00DA1FA3" w:rsidRPr="00DA1FA3">
        <w:rPr>
          <w:lang w:val="ka-GE"/>
        </w:rPr>
        <w:t>%</w:t>
      </w:r>
      <w:r w:rsidR="003F1B1C">
        <w:rPr>
          <w:lang w:val="ka-GE"/>
        </w:rPr>
        <w:t>)</w:t>
      </w:r>
      <w:r w:rsidR="00DA1FA3" w:rsidRPr="00DA1FA3">
        <w:rPr>
          <w:lang w:val="ka-GE"/>
        </w:rPr>
        <w:t xml:space="preserve">, </w:t>
      </w:r>
      <w:r w:rsidR="00E1767E">
        <w:rPr>
          <w:lang w:val="ka-GE"/>
        </w:rPr>
        <w:t xml:space="preserve">ნიდერლანდები </w:t>
      </w:r>
      <w:r w:rsidR="003F1B1C">
        <w:rPr>
          <w:lang w:val="ka-GE"/>
        </w:rPr>
        <w:t>(</w:t>
      </w:r>
      <w:r w:rsidR="00E1767E">
        <w:rPr>
          <w:lang w:val="ka-GE"/>
        </w:rPr>
        <w:t>46</w:t>
      </w:r>
      <w:r w:rsidR="00DA1FA3" w:rsidRPr="00DA1FA3">
        <w:rPr>
          <w:lang w:val="ka-GE"/>
        </w:rPr>
        <w:t>%</w:t>
      </w:r>
      <w:r w:rsidR="003F1B1C">
        <w:rPr>
          <w:lang w:val="ka-GE"/>
        </w:rPr>
        <w:t>)</w:t>
      </w:r>
      <w:r w:rsidR="00DA1FA3" w:rsidRPr="00DA1FA3">
        <w:rPr>
          <w:lang w:val="ka-GE"/>
        </w:rPr>
        <w:t>, გერმანია</w:t>
      </w:r>
      <w:r w:rsidR="003F1B1C">
        <w:rPr>
          <w:lang w:val="ka-GE"/>
        </w:rPr>
        <w:t xml:space="preserve"> (</w:t>
      </w:r>
      <w:r w:rsidR="00E1767E">
        <w:rPr>
          <w:lang w:val="ka-GE"/>
        </w:rPr>
        <w:t>27</w:t>
      </w:r>
      <w:r w:rsidR="00DA1FA3" w:rsidRPr="00DA1FA3">
        <w:rPr>
          <w:lang w:val="ka-GE"/>
        </w:rPr>
        <w:t>%</w:t>
      </w:r>
      <w:r w:rsidR="00381DCC">
        <w:rPr>
          <w:lang w:val="ka-GE"/>
        </w:rPr>
        <w:t>)</w:t>
      </w:r>
      <w:r w:rsidR="00E1767E">
        <w:rPr>
          <w:lang w:val="ka-GE"/>
        </w:rPr>
        <w:t>, საფრანგეთი (24%)</w:t>
      </w:r>
      <w:r w:rsidR="00DA1FA3" w:rsidRPr="00DA1FA3">
        <w:rPr>
          <w:lang w:val="ka-GE"/>
        </w:rPr>
        <w:t xml:space="preserve"> და სხვა.</w:t>
      </w:r>
    </w:p>
    <w:p w:rsidR="00EB52CE" w:rsidRPr="00630D10" w:rsidRDefault="00EB52CE" w:rsidP="00254BEE">
      <w:pPr>
        <w:pStyle w:val="BodyText"/>
        <w:tabs>
          <w:tab w:val="decimal" w:pos="90"/>
          <w:tab w:val="decimal" w:pos="2430"/>
        </w:tabs>
        <w:spacing w:before="50"/>
        <w:jc w:val="both"/>
        <w:rPr>
          <w:lang w:val="ka-GE"/>
        </w:rPr>
      </w:pPr>
    </w:p>
    <w:p w:rsidR="00EB52CE" w:rsidRPr="00630D10" w:rsidRDefault="00EB52CE" w:rsidP="00254BEE">
      <w:pPr>
        <w:pStyle w:val="BodyText"/>
        <w:tabs>
          <w:tab w:val="decimal" w:pos="90"/>
          <w:tab w:val="decimal" w:pos="2430"/>
        </w:tabs>
        <w:spacing w:before="50"/>
        <w:rPr>
          <w:lang w:val="ka-GE"/>
        </w:rPr>
      </w:pPr>
      <w:r w:rsidRPr="00630D10">
        <w:rPr>
          <w:noProof/>
        </w:rPr>
        <w:drawing>
          <wp:inline distT="0" distB="0" distL="0" distR="0" wp14:anchorId="248B0F6D" wp14:editId="05DB909C">
            <wp:extent cx="6448425" cy="226695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F5F3B" w:rsidRDefault="00FF5F3B" w:rsidP="00254BEE">
      <w:pPr>
        <w:pStyle w:val="BodyText"/>
        <w:tabs>
          <w:tab w:val="decimal" w:pos="90"/>
          <w:tab w:val="decimal" w:pos="2430"/>
        </w:tabs>
        <w:spacing w:before="50"/>
        <w:jc w:val="both"/>
        <w:rPr>
          <w:lang w:val="ka-GE"/>
        </w:rPr>
      </w:pPr>
      <w:r>
        <w:rPr>
          <w:lang w:val="ka-GE"/>
        </w:rPr>
        <w:t xml:space="preserve">საერთაშორისო ვიზიტორების ზრდას და ქვეყნის პოპულარიცაზიას საერთაშორისო ბაზრებზე ხელი შეუწყო საქართველოს მთავრობის მიერ განხორციელებულმა ღონისძიებებმა. </w:t>
      </w:r>
      <w:r w:rsidRPr="00014F6B">
        <w:rPr>
          <w:b/>
          <w:lang w:val="ka-GE"/>
        </w:rPr>
        <w:t xml:space="preserve">2017 წლის განმავლობაში საქართველომ მონაწილეობა მიიღო 22 საერთაშორისო ტურისტულ გამოფენაში, სადაც აქტიურად ხდებოდა საქართველოს როგორც </w:t>
      </w:r>
      <w:r w:rsidR="000331BA">
        <w:rPr>
          <w:b/>
          <w:lang w:val="ka-GE"/>
        </w:rPr>
        <w:t>„</w:t>
      </w:r>
      <w:proofErr w:type="spellStart"/>
      <w:r w:rsidRPr="00014F6B">
        <w:rPr>
          <w:b/>
          <w:lang w:val="ka-GE"/>
        </w:rPr>
        <w:t>დესტინაციის</w:t>
      </w:r>
      <w:proofErr w:type="spellEnd"/>
      <w:r w:rsidR="000331BA">
        <w:rPr>
          <w:b/>
          <w:lang w:val="ka-GE"/>
        </w:rPr>
        <w:t>“</w:t>
      </w:r>
      <w:r w:rsidRPr="00014F6B">
        <w:rPr>
          <w:b/>
          <w:lang w:val="ka-GE"/>
        </w:rPr>
        <w:t xml:space="preserve"> შეთავაზება.</w:t>
      </w:r>
      <w:r w:rsidRPr="006E2683">
        <w:rPr>
          <w:lang w:val="ka-GE"/>
        </w:rPr>
        <w:t xml:space="preserve"> საქართველოს, როგორც ტურისტულად მიმზიდველი ქვეყნის </w:t>
      </w:r>
      <w:r>
        <w:rPr>
          <w:lang w:val="ka-GE"/>
        </w:rPr>
        <w:t>რეკ</w:t>
      </w:r>
      <w:r w:rsidRPr="006E2683">
        <w:rPr>
          <w:lang w:val="ka-GE"/>
        </w:rPr>
        <w:t>ლ</w:t>
      </w:r>
      <w:r>
        <w:rPr>
          <w:lang w:val="ka-GE"/>
        </w:rPr>
        <w:t>ამ</w:t>
      </w:r>
      <w:r w:rsidRPr="006E2683">
        <w:rPr>
          <w:lang w:val="ka-GE"/>
        </w:rPr>
        <w:t xml:space="preserve">ირების მიზნით, ტურიზმის ეროვნული ადმინისტრაცია მთელი წლის განმავლობაში მიზნობრივ ქვეყნებში ინტერნეტ მარკეტინგულ კამპანიებს ატარებდა, რაც ადმინისტრაციის პარტნიორმა </w:t>
      </w:r>
      <w:proofErr w:type="spellStart"/>
      <w:r w:rsidRPr="006E2683">
        <w:rPr>
          <w:lang w:val="ka-GE"/>
        </w:rPr>
        <w:t>google</w:t>
      </w:r>
      <w:proofErr w:type="spellEnd"/>
      <w:r w:rsidRPr="006E2683">
        <w:rPr>
          <w:lang w:val="ka-GE"/>
        </w:rPr>
        <w:t>-ის ოფიციალურმა წარმომადგენლობამ წარმატებულ პროექტად შეაფასა.</w:t>
      </w:r>
    </w:p>
    <w:p w:rsidR="00FF5F3B" w:rsidRPr="00B621EB" w:rsidRDefault="00FF5F3B" w:rsidP="00254BEE">
      <w:pPr>
        <w:pStyle w:val="BodyText"/>
        <w:tabs>
          <w:tab w:val="decimal" w:pos="90"/>
          <w:tab w:val="decimal" w:pos="2430"/>
        </w:tabs>
        <w:spacing w:before="50"/>
        <w:jc w:val="both"/>
        <w:rPr>
          <w:b/>
        </w:rPr>
      </w:pPr>
      <w:r w:rsidRPr="00704B78">
        <w:rPr>
          <w:b/>
          <w:lang w:val="ka-GE"/>
        </w:rPr>
        <w:t xml:space="preserve">მსოფლიოში აღიარებულმა და გავლენიანმა სამოგზაურო გამოცემამ და პლატფორმამ </w:t>
      </w:r>
      <w:proofErr w:type="spellStart"/>
      <w:r w:rsidRPr="00704B78">
        <w:rPr>
          <w:b/>
          <w:lang w:val="ka-GE"/>
        </w:rPr>
        <w:t>lonely</w:t>
      </w:r>
      <w:proofErr w:type="spellEnd"/>
      <w:r w:rsidRPr="00704B78">
        <w:rPr>
          <w:b/>
          <w:lang w:val="ka-GE"/>
        </w:rPr>
        <w:t xml:space="preserve"> </w:t>
      </w:r>
      <w:proofErr w:type="spellStart"/>
      <w:r w:rsidRPr="00704B78">
        <w:rPr>
          <w:b/>
          <w:lang w:val="ka-GE"/>
        </w:rPr>
        <w:t>Planet</w:t>
      </w:r>
      <w:proofErr w:type="spellEnd"/>
      <w:r w:rsidRPr="00704B78">
        <w:rPr>
          <w:b/>
          <w:lang w:val="ka-GE"/>
        </w:rPr>
        <w:t>-მა საქართველო 2018 წლის ათ საუკეთესო მიმართულებას შორის დაასახელა.</w:t>
      </w:r>
      <w:r w:rsidRPr="006E2683">
        <w:rPr>
          <w:lang w:val="ka-GE"/>
        </w:rPr>
        <w:t xml:space="preserve"> </w:t>
      </w:r>
      <w:r>
        <w:rPr>
          <w:lang w:val="ka-GE"/>
        </w:rPr>
        <w:t xml:space="preserve"> </w:t>
      </w:r>
      <w:r w:rsidRPr="009449BB">
        <w:rPr>
          <w:b/>
          <w:lang w:val="ka-GE"/>
        </w:rPr>
        <w:t xml:space="preserve">ბრიტანულმა გამოცემა </w:t>
      </w:r>
      <w:proofErr w:type="spellStart"/>
      <w:r w:rsidRPr="009449BB">
        <w:rPr>
          <w:b/>
          <w:lang w:val="ka-GE"/>
        </w:rPr>
        <w:t>The</w:t>
      </w:r>
      <w:proofErr w:type="spellEnd"/>
      <w:r w:rsidRPr="009449BB">
        <w:rPr>
          <w:b/>
          <w:lang w:val="ka-GE"/>
        </w:rPr>
        <w:t xml:space="preserve"> </w:t>
      </w:r>
      <w:proofErr w:type="spellStart"/>
      <w:r w:rsidRPr="009449BB">
        <w:rPr>
          <w:b/>
          <w:lang w:val="ka-GE"/>
        </w:rPr>
        <w:t>Telegraph</w:t>
      </w:r>
      <w:proofErr w:type="spellEnd"/>
      <w:r w:rsidRPr="009449BB">
        <w:rPr>
          <w:b/>
          <w:lang w:val="ka-GE"/>
        </w:rPr>
        <w:t>-მა</w:t>
      </w:r>
      <w:r w:rsidRPr="00634906">
        <w:rPr>
          <w:b/>
          <w:lang w:val="ka-GE"/>
        </w:rPr>
        <w:t xml:space="preserve"> </w:t>
      </w:r>
      <w:r w:rsidRPr="009449BB">
        <w:rPr>
          <w:b/>
          <w:lang w:val="ka-GE"/>
        </w:rPr>
        <w:t>საქართველო ევროპის ყველაზე საოცარი</w:t>
      </w:r>
      <w:r w:rsidRPr="00634906">
        <w:rPr>
          <w:b/>
          <w:lang w:val="ka-GE"/>
        </w:rPr>
        <w:t xml:space="preserve"> </w:t>
      </w:r>
      <w:r w:rsidRPr="009449BB">
        <w:rPr>
          <w:b/>
          <w:lang w:val="ka-GE"/>
        </w:rPr>
        <w:t>ქვეყნების</w:t>
      </w:r>
      <w:r>
        <w:rPr>
          <w:b/>
          <w:lang w:val="ka-GE"/>
        </w:rPr>
        <w:t>,</w:t>
      </w:r>
      <w:r w:rsidRPr="009449BB">
        <w:rPr>
          <w:b/>
          <w:lang w:val="ka-GE"/>
        </w:rPr>
        <w:t xml:space="preserve"> </w:t>
      </w:r>
      <w:r w:rsidRPr="00634906">
        <w:rPr>
          <w:b/>
          <w:lang w:val="ka-GE"/>
        </w:rPr>
        <w:t xml:space="preserve"> ხოლო გამოცემა </w:t>
      </w:r>
      <w:proofErr w:type="spellStart"/>
      <w:r w:rsidRPr="00634906">
        <w:rPr>
          <w:b/>
          <w:lang w:val="ka-GE"/>
        </w:rPr>
        <w:t>Financial</w:t>
      </w:r>
      <w:proofErr w:type="spellEnd"/>
      <w:r w:rsidRPr="00634906">
        <w:rPr>
          <w:b/>
          <w:lang w:val="ka-GE"/>
        </w:rPr>
        <w:t xml:space="preserve"> </w:t>
      </w:r>
      <w:proofErr w:type="spellStart"/>
      <w:r w:rsidRPr="00634906">
        <w:rPr>
          <w:b/>
          <w:lang w:val="ka-GE"/>
        </w:rPr>
        <w:t>Times</w:t>
      </w:r>
      <w:proofErr w:type="spellEnd"/>
      <w:r w:rsidRPr="00634906">
        <w:rPr>
          <w:b/>
          <w:lang w:val="ka-GE"/>
        </w:rPr>
        <w:t>-მა</w:t>
      </w:r>
      <w:r>
        <w:rPr>
          <w:b/>
          <w:lang w:val="ka-GE"/>
        </w:rPr>
        <w:t xml:space="preserve"> </w:t>
      </w:r>
      <w:r w:rsidRPr="00634906">
        <w:rPr>
          <w:b/>
          <w:lang w:val="ka-GE"/>
        </w:rPr>
        <w:t xml:space="preserve"> ძირითად</w:t>
      </w:r>
      <w:r>
        <w:rPr>
          <w:b/>
          <w:lang w:val="ka-GE"/>
        </w:rPr>
        <w:t>ი</w:t>
      </w:r>
      <w:r w:rsidRPr="00634906">
        <w:rPr>
          <w:b/>
          <w:lang w:val="ka-GE"/>
        </w:rPr>
        <w:t xml:space="preserve"> ტურისტულ</w:t>
      </w:r>
      <w:r>
        <w:rPr>
          <w:b/>
          <w:lang w:val="ka-GE"/>
        </w:rPr>
        <w:t xml:space="preserve">ი  </w:t>
      </w:r>
      <w:r w:rsidRPr="00634906">
        <w:rPr>
          <w:b/>
          <w:lang w:val="ka-GE"/>
        </w:rPr>
        <w:t>მიმართულებების სიაში შეიყვანა</w:t>
      </w:r>
      <w:r>
        <w:rPr>
          <w:b/>
          <w:lang w:val="ka-GE"/>
        </w:rPr>
        <w:t xml:space="preserve">.  </w:t>
      </w:r>
      <w:proofErr w:type="spellStart"/>
      <w:r w:rsidRPr="00A202C9">
        <w:rPr>
          <w:b/>
          <w:lang w:val="ka-GE"/>
        </w:rPr>
        <w:t>National</w:t>
      </w:r>
      <w:proofErr w:type="spellEnd"/>
      <w:r w:rsidRPr="00A202C9">
        <w:rPr>
          <w:b/>
          <w:lang w:val="ka-GE"/>
        </w:rPr>
        <w:t xml:space="preserve"> </w:t>
      </w:r>
      <w:proofErr w:type="spellStart"/>
      <w:r w:rsidRPr="00A202C9">
        <w:rPr>
          <w:b/>
          <w:lang w:val="ka-GE"/>
        </w:rPr>
        <w:t>Geographic</w:t>
      </w:r>
      <w:proofErr w:type="spellEnd"/>
      <w:r w:rsidRPr="00A202C9">
        <w:rPr>
          <w:b/>
          <w:lang w:val="ka-GE"/>
        </w:rPr>
        <w:t>-მა საქართველო</w:t>
      </w:r>
      <w:r>
        <w:rPr>
          <w:b/>
          <w:lang w:val="ka-GE"/>
        </w:rPr>
        <w:t xml:space="preserve"> </w:t>
      </w:r>
      <w:r w:rsidRPr="00A202C9">
        <w:rPr>
          <w:b/>
          <w:lang w:val="ka-GE"/>
        </w:rPr>
        <w:t>მსოფლიოში ყველაზე ლამაზ 17 ადგილს</w:t>
      </w:r>
      <w:r>
        <w:rPr>
          <w:b/>
          <w:lang w:val="ka-GE"/>
        </w:rPr>
        <w:t xml:space="preserve"> </w:t>
      </w:r>
      <w:r w:rsidRPr="00A202C9">
        <w:rPr>
          <w:b/>
          <w:lang w:val="ka-GE"/>
        </w:rPr>
        <w:t>შორის დაასახელა</w:t>
      </w:r>
      <w:r>
        <w:rPr>
          <w:b/>
          <w:lang w:val="ka-GE"/>
        </w:rPr>
        <w:t xml:space="preserve">.  </w:t>
      </w:r>
    </w:p>
    <w:p w:rsidR="00EB52CE" w:rsidRPr="00630D10" w:rsidRDefault="00FF5F3B" w:rsidP="00254BEE">
      <w:pPr>
        <w:pStyle w:val="BodyText"/>
        <w:tabs>
          <w:tab w:val="decimal" w:pos="90"/>
          <w:tab w:val="decimal" w:pos="2430"/>
        </w:tabs>
        <w:spacing w:before="50"/>
        <w:jc w:val="both"/>
        <w:rPr>
          <w:lang w:val="ka-GE"/>
        </w:rPr>
      </w:pPr>
      <w:r w:rsidRPr="006E2683">
        <w:rPr>
          <w:lang w:val="ka-GE"/>
        </w:rPr>
        <w:t>გარდა ამისა, საქართველოს შესახებ ტურიზმის ეროვნული ადმინისტრაციის მიერ მოწვეულმა უცხოელმა ჟურნალისტებმა მოამზადეს 942 სტატია და 102 ტელერეპორტაჟი, სიუჟეტი და გადაცემა.</w:t>
      </w:r>
      <w:r>
        <w:rPr>
          <w:lang w:val="ka-GE"/>
        </w:rPr>
        <w:t xml:space="preserve">  </w:t>
      </w:r>
    </w:p>
    <w:p w:rsidR="00933471" w:rsidRDefault="00933471" w:rsidP="00254BEE">
      <w:pPr>
        <w:pStyle w:val="Heading1"/>
        <w:spacing w:line="240" w:lineRule="auto"/>
      </w:pPr>
      <w:bookmarkStart w:id="16" w:name="_bookmark6"/>
      <w:bookmarkEnd w:id="16"/>
    </w:p>
    <w:p w:rsidR="00EB52CE" w:rsidRPr="00630D10" w:rsidRDefault="00EB52CE" w:rsidP="00254BEE">
      <w:pPr>
        <w:pStyle w:val="Heading1"/>
        <w:spacing w:line="240" w:lineRule="auto"/>
      </w:pPr>
      <w:bookmarkStart w:id="17" w:name="_Toc511217321"/>
      <w:r w:rsidRPr="00630D10">
        <w:t>პირდაპირი  უცხოური ინვესტიციები</w:t>
      </w:r>
      <w:bookmarkEnd w:id="17"/>
    </w:p>
    <w:p w:rsidR="002C3155" w:rsidRDefault="002C3155" w:rsidP="00254BEE">
      <w:pPr>
        <w:pStyle w:val="BodyText"/>
        <w:tabs>
          <w:tab w:val="decimal" w:pos="90"/>
          <w:tab w:val="decimal" w:pos="2430"/>
        </w:tabs>
        <w:spacing w:before="50"/>
        <w:jc w:val="both"/>
        <w:rPr>
          <w:lang w:val="ka-GE"/>
        </w:rPr>
      </w:pPr>
    </w:p>
    <w:p w:rsidR="00EB52CE" w:rsidRPr="001B783C" w:rsidRDefault="00EB52CE" w:rsidP="00254BEE">
      <w:pPr>
        <w:pStyle w:val="BodyText"/>
        <w:tabs>
          <w:tab w:val="decimal" w:pos="90"/>
          <w:tab w:val="decimal" w:pos="2430"/>
        </w:tabs>
        <w:spacing w:before="50"/>
        <w:jc w:val="both"/>
        <w:rPr>
          <w:lang w:val="ka-GE"/>
        </w:rPr>
      </w:pPr>
      <w:r w:rsidRPr="00630D10">
        <w:rPr>
          <w:lang w:val="ka-GE"/>
        </w:rPr>
        <w:t xml:space="preserve">ბოლო ოთხი წლის განმავლობაში საქართველოში შეინიშნება პირდაპირი უცხოური ინვესტიციების მნიშვნელოვანი გაჯანსაღება და მისი დონე </w:t>
      </w:r>
      <w:proofErr w:type="spellStart"/>
      <w:r w:rsidRPr="00630D10">
        <w:rPr>
          <w:lang w:val="ka-GE"/>
        </w:rPr>
        <w:t>მშპ</w:t>
      </w:r>
      <w:proofErr w:type="spellEnd"/>
      <w:r w:rsidRPr="00630D10">
        <w:rPr>
          <w:lang w:val="ka-GE"/>
        </w:rPr>
        <w:t xml:space="preserve">-თან მიმართებით სტაბილურობით ხასიათდება. </w:t>
      </w:r>
      <w:r w:rsidR="00B74E34">
        <w:rPr>
          <w:lang w:val="ka-GE"/>
        </w:rPr>
        <w:t xml:space="preserve"> </w:t>
      </w:r>
      <w:r w:rsidR="00B74E34" w:rsidRPr="002F6625">
        <w:rPr>
          <w:b/>
          <w:lang w:val="ka-GE"/>
        </w:rPr>
        <w:t xml:space="preserve">2014-2017 წლებში საქართველოში </w:t>
      </w:r>
      <w:r w:rsidR="003A1D9E">
        <w:rPr>
          <w:b/>
          <w:lang w:val="ka-GE"/>
        </w:rPr>
        <w:t>7</w:t>
      </w:r>
      <w:r w:rsidR="001B783C" w:rsidRPr="002F6625">
        <w:rPr>
          <w:b/>
        </w:rPr>
        <w:t xml:space="preserve"> </w:t>
      </w:r>
      <w:r w:rsidR="001B783C" w:rsidRPr="002F6625">
        <w:rPr>
          <w:b/>
          <w:lang w:val="ka-GE"/>
        </w:rPr>
        <w:t>მილიარდ</w:t>
      </w:r>
      <w:r w:rsidR="003A1D9E">
        <w:rPr>
          <w:b/>
          <w:lang w:val="ka-GE"/>
        </w:rPr>
        <w:t>ამდე</w:t>
      </w:r>
      <w:r w:rsidR="00AA5B0F">
        <w:rPr>
          <w:b/>
          <w:lang w:val="ka-GE"/>
        </w:rPr>
        <w:t xml:space="preserve"> აშშ</w:t>
      </w:r>
      <w:r w:rsidR="001B783C" w:rsidRPr="002F6625">
        <w:rPr>
          <w:b/>
          <w:lang w:val="ka-GE"/>
        </w:rPr>
        <w:t xml:space="preserve"> </w:t>
      </w:r>
      <w:r w:rsidR="003A1D9E">
        <w:rPr>
          <w:b/>
          <w:lang w:val="ka-GE"/>
        </w:rPr>
        <w:t>დოლარის</w:t>
      </w:r>
      <w:r w:rsidR="001B783C" w:rsidRPr="002F6625">
        <w:rPr>
          <w:b/>
          <w:lang w:val="ka-GE"/>
        </w:rPr>
        <w:t xml:space="preserve"> ინვესტიცია განხორციელდა.</w:t>
      </w:r>
      <w:r w:rsidR="001B783C">
        <w:rPr>
          <w:lang w:val="ka-GE"/>
        </w:rPr>
        <w:t xml:space="preserve"> </w:t>
      </w:r>
    </w:p>
    <w:p w:rsidR="003A1D9E" w:rsidRPr="003A1D9E" w:rsidRDefault="003A1D9E" w:rsidP="00254BEE">
      <w:pPr>
        <w:spacing w:after="160"/>
        <w:jc w:val="both"/>
        <w:rPr>
          <w:color w:val="000000" w:themeColor="text1"/>
          <w:lang w:val="ka-GE"/>
        </w:rPr>
      </w:pPr>
      <w:r w:rsidRPr="003A1D9E">
        <w:rPr>
          <w:color w:val="000000" w:themeColor="text1"/>
          <w:lang w:val="ka-GE"/>
        </w:rPr>
        <w:t>2017 წელს  საქართველოში განხორციელებული პირდაპირი უცხოური ინვესტიციების მოცულობამ რეკორდულ მაჩვენებელს 1 861.9 მლნ. აშშ დოლარს მიაღწია და წინა წელთან შედარებით  16.2 პროცენტით (259.1 მლნ. აშშ. დოლარით) გაიზარდა. აღნიშნული მაჩვენებელი პირდაპირი უცხოური ინვესტიციების შემოდინების ისტორიული მაქსიმუმია, აქამდე ყველაზე მაღალი შემოდინება 2014 წელს ფიქსირდებოდა და 1 818 მლნ აშშ დოლარს შეადგენდა, რასაც 44 მლნ აშშ დოლარით (2.4 პროცენტით) აღემატება 2017 წლის უცხოური ინვესტიციების შემოდინებები.</w:t>
      </w:r>
    </w:p>
    <w:p w:rsidR="003A1D9E" w:rsidRPr="003A1D9E" w:rsidRDefault="003A1D9E" w:rsidP="00254BEE">
      <w:pPr>
        <w:spacing w:after="160"/>
        <w:jc w:val="both"/>
        <w:rPr>
          <w:color w:val="000000" w:themeColor="text1"/>
          <w:lang w:val="ka-GE"/>
        </w:rPr>
      </w:pPr>
      <w:r w:rsidRPr="003A1D9E">
        <w:rPr>
          <w:color w:val="000000" w:themeColor="text1"/>
          <w:lang w:val="ka-GE"/>
        </w:rPr>
        <w:t xml:space="preserve">2017 წლის მეოთხე კვარტალში პირდაპირი უცხოური ინვესტიციების მოცულობამ  497.4 მლნ. აშშ დოლარი შეადგინა, რაც 89.1 პროცენტით (234.3 მლნ. აშშ. დოლარით) აღემატება წინა წლის შესაბამის მაჩვენებელს. </w:t>
      </w:r>
    </w:p>
    <w:p w:rsidR="007F757B" w:rsidRDefault="00D36F74" w:rsidP="00254BEE">
      <w:pPr>
        <w:pStyle w:val="BodyText"/>
        <w:tabs>
          <w:tab w:val="decimal" w:pos="90"/>
          <w:tab w:val="decimal" w:pos="2430"/>
        </w:tabs>
        <w:spacing w:before="50"/>
        <w:jc w:val="both"/>
        <w:rPr>
          <w:b/>
          <w:color w:val="0D0D0D" w:themeColor="text1" w:themeTint="F2"/>
          <w:lang w:val="ka-GE"/>
        </w:rPr>
      </w:pPr>
      <w:r w:rsidRPr="002F6625">
        <w:rPr>
          <w:b/>
          <w:color w:val="0D0D0D" w:themeColor="text1" w:themeTint="F2"/>
          <w:lang w:val="ka-GE"/>
        </w:rPr>
        <w:t xml:space="preserve">2017 </w:t>
      </w:r>
      <w:r w:rsidR="003A1D9E">
        <w:rPr>
          <w:b/>
          <w:color w:val="0D0D0D" w:themeColor="text1" w:themeTint="F2"/>
          <w:lang w:val="ka-GE"/>
        </w:rPr>
        <w:t xml:space="preserve">წელს </w:t>
      </w:r>
      <w:r w:rsidRPr="002F6625">
        <w:rPr>
          <w:b/>
          <w:color w:val="0D0D0D" w:themeColor="text1" w:themeTint="F2"/>
          <w:lang w:val="ka-GE"/>
        </w:rPr>
        <w:t xml:space="preserve">მნიშვნელოვნად - </w:t>
      </w:r>
      <w:r w:rsidR="003A1D9E" w:rsidRPr="003A1D9E">
        <w:rPr>
          <w:b/>
          <w:color w:val="000000" w:themeColor="text1"/>
          <w:lang w:val="ka-GE"/>
        </w:rPr>
        <w:t xml:space="preserve">129.6 </w:t>
      </w:r>
      <w:r w:rsidRPr="003A1D9E">
        <w:rPr>
          <w:b/>
          <w:color w:val="0D0D0D" w:themeColor="text1" w:themeTint="F2"/>
          <w:lang w:val="ka-GE"/>
        </w:rPr>
        <w:t>პროცენტით</w:t>
      </w:r>
      <w:r w:rsidRPr="002F6625">
        <w:rPr>
          <w:b/>
          <w:color w:val="0D0D0D" w:themeColor="text1" w:themeTint="F2"/>
          <w:lang w:val="ka-GE"/>
        </w:rPr>
        <w:t xml:space="preserve"> (</w:t>
      </w:r>
      <w:r w:rsidR="003A1D9E">
        <w:rPr>
          <w:b/>
          <w:color w:val="0D0D0D" w:themeColor="text1" w:themeTint="F2"/>
          <w:lang w:val="ka-GE"/>
        </w:rPr>
        <w:t>402</w:t>
      </w:r>
      <w:r w:rsidRPr="002F6625">
        <w:rPr>
          <w:b/>
          <w:color w:val="0D0D0D" w:themeColor="text1" w:themeTint="F2"/>
          <w:lang w:val="ka-GE"/>
        </w:rPr>
        <w:t xml:space="preserve"> მლნ აშშ დოლარით) გაიზარდა   რეინვესტირების მოცულობა და </w:t>
      </w:r>
      <w:r w:rsidR="003A1D9E">
        <w:rPr>
          <w:b/>
          <w:color w:val="0D0D0D" w:themeColor="text1" w:themeTint="F2"/>
          <w:lang w:val="ka-GE"/>
        </w:rPr>
        <w:t>712</w:t>
      </w:r>
      <w:r w:rsidRPr="002F6625">
        <w:rPr>
          <w:b/>
          <w:color w:val="0D0D0D" w:themeColor="text1" w:themeTint="F2"/>
          <w:lang w:val="ka-GE"/>
        </w:rPr>
        <w:t xml:space="preserve"> მლნ. აშშ. დოლარი შეადგინა. </w:t>
      </w:r>
      <w:r w:rsidR="00D02C61" w:rsidRPr="002F6625">
        <w:rPr>
          <w:b/>
          <w:color w:val="0D0D0D" w:themeColor="text1" w:themeTint="F2"/>
          <w:lang w:val="ka-GE"/>
        </w:rPr>
        <w:t xml:space="preserve">რეინვესტირების მოცულობის ზრდა ნათლად მიანიშნებს ინვესტორთა ნდობის ზრდასა და პოზიტიურ მოლოდინებზე ქვეყნის ბიზნეს გარემოს მიმართ. </w:t>
      </w:r>
      <w:r w:rsidR="007F757B">
        <w:rPr>
          <w:b/>
          <w:color w:val="0D0D0D" w:themeColor="text1" w:themeTint="F2"/>
          <w:lang w:val="ka-GE"/>
        </w:rPr>
        <w:t xml:space="preserve">რეინვესტირების მოცულობის ზრდა ერთმნიშვნელოვნად ამტკიცებს გატარებული მოგების გადასახადის რეფორმის ეფექტიანობას, </w:t>
      </w:r>
      <w:r w:rsidR="007F757B" w:rsidRPr="00D7125F">
        <w:rPr>
          <w:b/>
          <w:color w:val="0D0D0D" w:themeColor="text1" w:themeTint="F2"/>
          <w:lang w:val="ka-GE"/>
        </w:rPr>
        <w:t>რომელიც კერძო სექტორს აძლევს საშუალებას მათი მიღებული მოგება, გადასახადების ნაცვლად</w:t>
      </w:r>
      <w:r w:rsidR="007F757B">
        <w:rPr>
          <w:b/>
          <w:color w:val="0D0D0D" w:themeColor="text1" w:themeTint="F2"/>
          <w:lang w:val="ka-GE"/>
        </w:rPr>
        <w:t>,</w:t>
      </w:r>
      <w:r w:rsidR="007F757B" w:rsidRPr="00D7125F">
        <w:rPr>
          <w:b/>
          <w:color w:val="0D0D0D" w:themeColor="text1" w:themeTint="F2"/>
          <w:lang w:val="ka-GE"/>
        </w:rPr>
        <w:t xml:space="preserve"> მიმართონ ახალი ინვესტიციების განსახორციელებლად</w:t>
      </w:r>
      <w:r w:rsidR="007F757B">
        <w:rPr>
          <w:b/>
          <w:color w:val="0D0D0D" w:themeColor="text1" w:themeTint="F2"/>
          <w:lang w:val="ka-GE"/>
        </w:rPr>
        <w:t xml:space="preserve"> და</w:t>
      </w:r>
      <w:r w:rsidR="007F757B" w:rsidRPr="00D7125F">
        <w:rPr>
          <w:b/>
          <w:color w:val="0D0D0D" w:themeColor="text1" w:themeTint="F2"/>
          <w:lang w:val="ka-GE"/>
        </w:rPr>
        <w:t xml:space="preserve"> ბიზნეს-საქმიანობის </w:t>
      </w:r>
      <w:r w:rsidR="007F757B">
        <w:rPr>
          <w:b/>
          <w:color w:val="0D0D0D" w:themeColor="text1" w:themeTint="F2"/>
          <w:lang w:val="ka-GE"/>
        </w:rPr>
        <w:t>გასაფართო</w:t>
      </w:r>
      <w:r w:rsidR="007F757B" w:rsidRPr="00D7125F">
        <w:rPr>
          <w:b/>
          <w:color w:val="0D0D0D" w:themeColor="text1" w:themeTint="F2"/>
          <w:lang w:val="ka-GE"/>
        </w:rPr>
        <w:t>ებლად</w:t>
      </w:r>
      <w:r w:rsidR="007F757B">
        <w:rPr>
          <w:b/>
          <w:color w:val="0D0D0D" w:themeColor="text1" w:themeTint="F2"/>
          <w:lang w:val="ka-GE"/>
        </w:rPr>
        <w:t xml:space="preserve">. </w:t>
      </w:r>
    </w:p>
    <w:p w:rsidR="004D6413" w:rsidRPr="004D6413" w:rsidRDefault="004D6413" w:rsidP="00254BEE">
      <w:pPr>
        <w:pStyle w:val="BodyText"/>
        <w:tabs>
          <w:tab w:val="decimal" w:pos="90"/>
          <w:tab w:val="decimal" w:pos="2430"/>
        </w:tabs>
        <w:spacing w:before="50"/>
        <w:jc w:val="both"/>
        <w:rPr>
          <w:lang w:val="ka-GE"/>
        </w:rPr>
      </w:pPr>
      <w:r w:rsidRPr="004D6413">
        <w:rPr>
          <w:lang w:val="ka-GE"/>
        </w:rPr>
        <w:t xml:space="preserve">2017 წელს მნიშვნელოვნად 114 პროცენტით (156.9 მლნ. აშშ. დოლარით) გაიზარდა პირდაპირი უცხოური ინვესტიციების მოცულობა მშენებლობის სექტორში და 294.6 მლნ. აშშ. დოლარი შეადგინა, საფინანსო სექტორში ინვესტიციები გაიზარდა 98 პროცენტით (150.4 მლნ. აშშ. დოლარით) და 304.3 მლნ. აშშ. დოლარი შეადგინა.   ენერგეტიკის სექტორში ინვესტიციების 61 პროცენტიანი ზრდა (71.5 მლნ. აშშ. დოლარით მეტი) დაფიქსირდა და 188.6 მლნ. აშშ. დოლარი შეადგინა.   </w:t>
      </w:r>
    </w:p>
    <w:p w:rsidR="003A1D9E" w:rsidRPr="00C87C43" w:rsidRDefault="003A1D9E" w:rsidP="00254BEE">
      <w:pPr>
        <w:pStyle w:val="BodyText"/>
        <w:tabs>
          <w:tab w:val="decimal" w:pos="90"/>
          <w:tab w:val="decimal" w:pos="2430"/>
        </w:tabs>
        <w:spacing w:before="50"/>
        <w:jc w:val="both"/>
        <w:rPr>
          <w:lang w:val="ka-GE"/>
        </w:rPr>
      </w:pPr>
      <w:r w:rsidRPr="00C87C43">
        <w:rPr>
          <w:lang w:val="ka-GE"/>
        </w:rPr>
        <w:t xml:space="preserve">2017 წელს  ყველაზე მეტი პირდაპირი უცხოური ინვესტიცია </w:t>
      </w:r>
      <w:r w:rsidRPr="004D6413">
        <w:rPr>
          <w:lang w:val="ka-GE"/>
        </w:rPr>
        <w:t>ტრანსპორტსა და კავშირგაბმულობაში</w:t>
      </w:r>
      <w:r w:rsidRPr="00C87C43">
        <w:rPr>
          <w:lang w:val="ka-GE"/>
        </w:rPr>
        <w:t xml:space="preserve"> განხორციელდა და 527.1 მლნ. აშშ დოლარი შეადგინა, რაც მთლიანი პირდაპირი უცხოური ინვესტიციების 28.3 პროცენტია. მეორე ადგილზე იმყოფება </w:t>
      </w:r>
      <w:r w:rsidRPr="004D6413">
        <w:rPr>
          <w:lang w:val="ka-GE"/>
        </w:rPr>
        <w:t>საფინანსო</w:t>
      </w:r>
      <w:r w:rsidRPr="00C87C43">
        <w:rPr>
          <w:lang w:val="ka-GE"/>
        </w:rPr>
        <w:t xml:space="preserve"> </w:t>
      </w:r>
      <w:r>
        <w:rPr>
          <w:lang w:val="ka-GE"/>
        </w:rPr>
        <w:t xml:space="preserve">სექტორი </w:t>
      </w:r>
      <w:r w:rsidRPr="00C87C43">
        <w:rPr>
          <w:lang w:val="ka-GE"/>
        </w:rPr>
        <w:t xml:space="preserve">304.3 მლნ. აშშ დოლარით (16.3 პროცენტი), ხოლო მესამეზე </w:t>
      </w:r>
      <w:r w:rsidRPr="004D6413">
        <w:rPr>
          <w:lang w:val="ka-GE"/>
        </w:rPr>
        <w:t>მშენებლობის</w:t>
      </w:r>
      <w:r w:rsidRPr="00C87C43">
        <w:rPr>
          <w:lang w:val="ka-GE"/>
        </w:rPr>
        <w:t xml:space="preserve"> </w:t>
      </w:r>
      <w:r>
        <w:rPr>
          <w:lang w:val="ka-GE"/>
        </w:rPr>
        <w:t>სექტორ</w:t>
      </w:r>
      <w:r w:rsidRPr="00C87C43">
        <w:rPr>
          <w:lang w:val="ka-GE"/>
        </w:rPr>
        <w:t xml:space="preserve">ი 294.6 მლნ. აშშ დოლარით (15.8 პროცენტი).  </w:t>
      </w:r>
    </w:p>
    <w:p w:rsidR="00EB52CE" w:rsidRDefault="009F0008" w:rsidP="00254BEE">
      <w:pPr>
        <w:pStyle w:val="BodyText"/>
        <w:tabs>
          <w:tab w:val="decimal" w:pos="90"/>
          <w:tab w:val="decimal" w:pos="2430"/>
        </w:tabs>
        <w:spacing w:before="50"/>
        <w:jc w:val="both"/>
        <w:rPr>
          <w:lang w:val="ka-GE"/>
        </w:rPr>
      </w:pPr>
      <w:r>
        <w:rPr>
          <w:lang w:val="ka-GE"/>
        </w:rPr>
        <w:t xml:space="preserve">2017 წლის მონაცემების მიხედვით </w:t>
      </w:r>
      <w:r w:rsidR="00EB52CE" w:rsidRPr="00630D10">
        <w:rPr>
          <w:lang w:val="ka-GE"/>
        </w:rPr>
        <w:t xml:space="preserve">უმსხვილესი ინვესტორი ქვეყნების </w:t>
      </w:r>
      <w:r>
        <w:rPr>
          <w:lang w:val="ka-GE"/>
        </w:rPr>
        <w:t>ხუთეულში</w:t>
      </w:r>
      <w:r w:rsidRPr="00630D10">
        <w:rPr>
          <w:lang w:val="ka-GE"/>
        </w:rPr>
        <w:t xml:space="preserve"> </w:t>
      </w:r>
      <w:r w:rsidR="00EB52CE" w:rsidRPr="00630D10">
        <w:rPr>
          <w:lang w:val="ka-GE"/>
        </w:rPr>
        <w:t xml:space="preserve"> პირველ ადგილზე აზერბაიჯანია </w:t>
      </w:r>
      <w:r w:rsidR="003A1D9E">
        <w:rPr>
          <w:lang w:val="ka-GE"/>
        </w:rPr>
        <w:t>25.9</w:t>
      </w:r>
      <w:r w:rsidR="00EB52CE">
        <w:rPr>
          <w:lang w:val="ka-GE"/>
        </w:rPr>
        <w:t xml:space="preserve"> პროცენტ</w:t>
      </w:r>
      <w:r w:rsidR="00EB52CE" w:rsidRPr="00630D10">
        <w:rPr>
          <w:lang w:val="ka-GE"/>
        </w:rPr>
        <w:t>ით</w:t>
      </w:r>
      <w:r>
        <w:rPr>
          <w:lang w:val="ka-GE"/>
        </w:rPr>
        <w:t xml:space="preserve"> (</w:t>
      </w:r>
      <w:r w:rsidR="003A1D9E">
        <w:rPr>
          <w:lang w:val="ka-GE"/>
        </w:rPr>
        <w:t>482</w:t>
      </w:r>
      <w:r>
        <w:rPr>
          <w:lang w:val="ka-GE"/>
        </w:rPr>
        <w:t xml:space="preserve"> მლნ აშშ დოლარი)</w:t>
      </w:r>
      <w:r w:rsidR="00EB52CE" w:rsidRPr="00630D10">
        <w:rPr>
          <w:lang w:val="ka-GE"/>
        </w:rPr>
        <w:t>, მეორე ადგილზე - თურქეთი 1</w:t>
      </w:r>
      <w:r w:rsidR="003A1D9E">
        <w:rPr>
          <w:lang w:val="ka-GE"/>
        </w:rPr>
        <w:t>5</w:t>
      </w:r>
      <w:r w:rsidR="00EB52CE">
        <w:rPr>
          <w:lang w:val="ka-GE"/>
        </w:rPr>
        <w:t xml:space="preserve"> პროცენტ</w:t>
      </w:r>
      <w:r w:rsidR="00EB52CE" w:rsidRPr="00630D10">
        <w:rPr>
          <w:lang w:val="ka-GE"/>
        </w:rPr>
        <w:t>ით</w:t>
      </w:r>
      <w:r>
        <w:rPr>
          <w:lang w:val="ka-GE"/>
        </w:rPr>
        <w:t xml:space="preserve"> (2</w:t>
      </w:r>
      <w:r w:rsidR="003A1D9E">
        <w:rPr>
          <w:lang w:val="ka-GE"/>
        </w:rPr>
        <w:t>7</w:t>
      </w:r>
      <w:r>
        <w:rPr>
          <w:lang w:val="ka-GE"/>
        </w:rPr>
        <w:t>9 მლნ აშშ დოლარი)</w:t>
      </w:r>
      <w:r w:rsidR="00EB52CE" w:rsidRPr="00630D10">
        <w:rPr>
          <w:lang w:val="ka-GE"/>
        </w:rPr>
        <w:t>, ხოლო მესამე ადგილზე გაერთიანებული სამეფო - 13</w:t>
      </w:r>
      <w:r w:rsidR="003A1D9E">
        <w:rPr>
          <w:lang w:val="ka-GE"/>
        </w:rPr>
        <w:t>.4</w:t>
      </w:r>
      <w:r w:rsidR="00EB52CE">
        <w:rPr>
          <w:lang w:val="ka-GE"/>
        </w:rPr>
        <w:t xml:space="preserve"> პროცენტ</w:t>
      </w:r>
      <w:r w:rsidR="00EB52CE" w:rsidRPr="00630D10">
        <w:rPr>
          <w:lang w:val="ka-GE"/>
        </w:rPr>
        <w:t>ით</w:t>
      </w:r>
      <w:r>
        <w:rPr>
          <w:lang w:val="ka-GE"/>
        </w:rPr>
        <w:t xml:space="preserve"> (</w:t>
      </w:r>
      <w:r w:rsidR="003A1D9E">
        <w:rPr>
          <w:lang w:val="ka-GE"/>
        </w:rPr>
        <w:t>2</w:t>
      </w:r>
      <w:r>
        <w:rPr>
          <w:lang w:val="ka-GE"/>
        </w:rPr>
        <w:t>5</w:t>
      </w:r>
      <w:r w:rsidR="003A1D9E">
        <w:rPr>
          <w:lang w:val="ka-GE"/>
        </w:rPr>
        <w:t>0</w:t>
      </w:r>
      <w:r>
        <w:rPr>
          <w:lang w:val="ka-GE"/>
        </w:rPr>
        <w:t xml:space="preserve"> მლნ აშშ დოლარი), ნიდერლანდები - 1</w:t>
      </w:r>
      <w:r w:rsidR="003A1D9E">
        <w:rPr>
          <w:lang w:val="ka-GE"/>
        </w:rPr>
        <w:t>2</w:t>
      </w:r>
      <w:r>
        <w:rPr>
          <w:lang w:val="ka-GE"/>
        </w:rPr>
        <w:t xml:space="preserve"> პროცენტ</w:t>
      </w:r>
      <w:r w:rsidRPr="00630D10">
        <w:rPr>
          <w:lang w:val="ka-GE"/>
        </w:rPr>
        <w:t>ით</w:t>
      </w:r>
      <w:r>
        <w:rPr>
          <w:lang w:val="ka-GE"/>
        </w:rPr>
        <w:t xml:space="preserve"> (</w:t>
      </w:r>
      <w:r w:rsidR="003A1D9E">
        <w:rPr>
          <w:lang w:val="ka-GE"/>
        </w:rPr>
        <w:t xml:space="preserve">224 </w:t>
      </w:r>
      <w:r>
        <w:rPr>
          <w:lang w:val="ka-GE"/>
        </w:rPr>
        <w:t xml:space="preserve">მლნ აშშ დოლარი), </w:t>
      </w:r>
      <w:r w:rsidR="003A1D9E">
        <w:rPr>
          <w:lang w:val="ka-GE"/>
        </w:rPr>
        <w:t xml:space="preserve">ჩეხეთი </w:t>
      </w:r>
      <w:r>
        <w:rPr>
          <w:lang w:val="ka-GE"/>
        </w:rPr>
        <w:t xml:space="preserve">- </w:t>
      </w:r>
      <w:r w:rsidR="003A1D9E">
        <w:rPr>
          <w:lang w:val="ka-GE"/>
        </w:rPr>
        <w:t>7.2</w:t>
      </w:r>
      <w:r>
        <w:rPr>
          <w:lang w:val="ka-GE"/>
        </w:rPr>
        <w:t xml:space="preserve"> პროცენტით (</w:t>
      </w:r>
      <w:r w:rsidR="003A1D9E">
        <w:rPr>
          <w:lang w:val="ka-GE"/>
        </w:rPr>
        <w:t>134</w:t>
      </w:r>
      <w:r>
        <w:rPr>
          <w:lang w:val="ka-GE"/>
        </w:rPr>
        <w:t xml:space="preserve"> მლნ აშშ დოლარი).</w:t>
      </w:r>
    </w:p>
    <w:p w:rsidR="00EB52CE" w:rsidRPr="00630D10" w:rsidRDefault="00EB52CE" w:rsidP="00254BEE">
      <w:pPr>
        <w:pStyle w:val="BodyText"/>
        <w:tabs>
          <w:tab w:val="decimal" w:pos="90"/>
          <w:tab w:val="decimal" w:pos="2430"/>
        </w:tabs>
        <w:spacing w:before="50"/>
        <w:ind w:right="36"/>
        <w:jc w:val="both"/>
        <w:rPr>
          <w:lang w:val="ka-GE"/>
        </w:rPr>
      </w:pPr>
    </w:p>
    <w:p w:rsidR="00EB52CE" w:rsidRDefault="008659E4" w:rsidP="00254BEE">
      <w:pPr>
        <w:pStyle w:val="BodyText"/>
        <w:tabs>
          <w:tab w:val="decimal" w:pos="90"/>
          <w:tab w:val="decimal" w:pos="2430"/>
        </w:tabs>
        <w:spacing w:before="50"/>
        <w:ind w:right="36"/>
        <w:jc w:val="both"/>
        <w:rPr>
          <w:lang w:val="ka-GE"/>
        </w:rPr>
      </w:pPr>
      <w:r w:rsidRPr="00630D10">
        <w:rPr>
          <w:noProof/>
          <w:shd w:val="clear" w:color="auto" w:fill="FFFFFF" w:themeFill="background1"/>
        </w:rPr>
        <w:drawing>
          <wp:inline distT="0" distB="0" distL="0" distR="0" wp14:anchorId="53475323" wp14:editId="724D54D5">
            <wp:extent cx="5943600" cy="2137128"/>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B5917" w:rsidRDefault="004B5917" w:rsidP="00254BEE">
      <w:pPr>
        <w:pStyle w:val="BodyText"/>
        <w:tabs>
          <w:tab w:val="decimal" w:pos="90"/>
          <w:tab w:val="decimal" w:pos="2430"/>
        </w:tabs>
        <w:spacing w:before="50"/>
        <w:ind w:right="36"/>
        <w:jc w:val="both"/>
        <w:rPr>
          <w:lang w:val="ka-GE"/>
        </w:rPr>
      </w:pPr>
    </w:p>
    <w:p w:rsidR="004B5917" w:rsidRDefault="004B5917" w:rsidP="00254BEE">
      <w:pPr>
        <w:pStyle w:val="BodyText"/>
        <w:tabs>
          <w:tab w:val="decimal" w:pos="90"/>
          <w:tab w:val="decimal" w:pos="2430"/>
        </w:tabs>
        <w:spacing w:before="50"/>
        <w:ind w:right="36"/>
        <w:jc w:val="both"/>
        <w:rPr>
          <w:lang w:val="ka-GE"/>
        </w:rPr>
      </w:pPr>
    </w:p>
    <w:p w:rsidR="004B5917" w:rsidRPr="00630D10" w:rsidRDefault="004B5917" w:rsidP="00254BEE">
      <w:pPr>
        <w:pStyle w:val="BodyText"/>
        <w:tabs>
          <w:tab w:val="decimal" w:pos="90"/>
          <w:tab w:val="decimal" w:pos="2430"/>
        </w:tabs>
        <w:spacing w:before="50"/>
        <w:ind w:right="36"/>
        <w:jc w:val="both"/>
        <w:rPr>
          <w:lang w:val="ka-GE"/>
        </w:rPr>
      </w:pPr>
    </w:p>
    <w:p w:rsidR="00EB52CE" w:rsidRPr="00630D10" w:rsidRDefault="00EB52CE" w:rsidP="00254BEE">
      <w:pPr>
        <w:pStyle w:val="Heading1"/>
        <w:spacing w:line="240" w:lineRule="auto"/>
      </w:pPr>
      <w:bookmarkStart w:id="18" w:name="_Toc511217322"/>
      <w:r w:rsidRPr="00630D10">
        <w:t>ფულადი გზავნილები</w:t>
      </w:r>
      <w:bookmarkEnd w:id="18"/>
    </w:p>
    <w:p w:rsidR="00C62721" w:rsidRDefault="00C62721" w:rsidP="00254BEE">
      <w:pPr>
        <w:pStyle w:val="BodyText"/>
        <w:tabs>
          <w:tab w:val="decimal" w:pos="90"/>
          <w:tab w:val="decimal" w:pos="2430"/>
        </w:tabs>
        <w:spacing w:before="50"/>
        <w:jc w:val="both"/>
        <w:rPr>
          <w:lang w:val="ka-GE"/>
        </w:rPr>
      </w:pPr>
    </w:p>
    <w:p w:rsidR="00EB52CE" w:rsidRDefault="00EB52CE" w:rsidP="00254BEE">
      <w:pPr>
        <w:pStyle w:val="BodyText"/>
        <w:tabs>
          <w:tab w:val="decimal" w:pos="90"/>
          <w:tab w:val="decimal" w:pos="2430"/>
        </w:tabs>
        <w:spacing w:before="50"/>
        <w:jc w:val="both"/>
        <w:rPr>
          <w:lang w:val="ka-GE"/>
        </w:rPr>
      </w:pPr>
      <w:r w:rsidRPr="00630D10">
        <w:rPr>
          <w:lang w:val="ka-GE"/>
        </w:rPr>
        <w:t>2018 წლის იანვარ</w:t>
      </w:r>
      <w:r w:rsidR="0065057B">
        <w:rPr>
          <w:lang w:val="ka-GE"/>
        </w:rPr>
        <w:t>-თებერვალში</w:t>
      </w:r>
      <w:r w:rsidRPr="00630D10">
        <w:rPr>
          <w:lang w:val="ka-GE"/>
        </w:rPr>
        <w:t xml:space="preserve"> ფულადი გზავნილების ზრდამ </w:t>
      </w:r>
      <w:r w:rsidR="00503A6B">
        <w:t>25.8</w:t>
      </w:r>
      <w:r>
        <w:rPr>
          <w:lang w:val="ka-GE"/>
        </w:rPr>
        <w:t xml:space="preserve"> </w:t>
      </w:r>
      <w:r w:rsidRPr="00A14B1C">
        <w:rPr>
          <w:lang w:val="ka-GE"/>
        </w:rPr>
        <w:t>პროცენტი</w:t>
      </w:r>
      <w:r w:rsidR="000B75F1" w:rsidRPr="00A14B1C">
        <w:rPr>
          <w:lang w:val="ka-GE"/>
        </w:rPr>
        <w:t>, ხოლო ფულადი გზავნილების მოცულობა</w:t>
      </w:r>
      <w:r w:rsidR="00F2657A" w:rsidRPr="00A14B1C">
        <w:rPr>
          <w:lang w:val="ka-GE"/>
        </w:rPr>
        <w:t>მ</w:t>
      </w:r>
      <w:r w:rsidR="000B75F1" w:rsidRPr="00A14B1C">
        <w:rPr>
          <w:lang w:val="ka-GE"/>
        </w:rPr>
        <w:t xml:space="preserve"> </w:t>
      </w:r>
      <w:r w:rsidR="00503A6B">
        <w:t>223.9</w:t>
      </w:r>
      <w:r w:rsidR="000B75F1">
        <w:rPr>
          <w:lang w:val="ka-GE"/>
        </w:rPr>
        <w:t xml:space="preserve"> მლნ. </w:t>
      </w:r>
      <w:r w:rsidR="00F2657A">
        <w:rPr>
          <w:lang w:val="ka-GE"/>
        </w:rPr>
        <w:t>დოლარი</w:t>
      </w:r>
      <w:r w:rsidR="000B75F1">
        <w:rPr>
          <w:lang w:val="ka-GE"/>
        </w:rPr>
        <w:t xml:space="preserve"> </w:t>
      </w:r>
      <w:r w:rsidR="00F2657A" w:rsidRPr="00630D10">
        <w:rPr>
          <w:lang w:val="ka-GE"/>
        </w:rPr>
        <w:t>შეადგინა</w:t>
      </w:r>
      <w:r w:rsidRPr="00630D10">
        <w:rPr>
          <w:lang w:val="ka-GE"/>
        </w:rPr>
        <w:t xml:space="preserve">. </w:t>
      </w:r>
      <w:r w:rsidR="00311758">
        <w:rPr>
          <w:lang w:val="ka-GE"/>
        </w:rPr>
        <w:t xml:space="preserve"> </w:t>
      </w:r>
      <w:r w:rsidR="004E1A37">
        <w:rPr>
          <w:lang w:val="ka-GE"/>
        </w:rPr>
        <w:t xml:space="preserve">ამასთან, იზრდება ფულადი გზავნილების დივერსიფიკაციის დონე. </w:t>
      </w:r>
      <w:r w:rsidR="00FF3FE9">
        <w:rPr>
          <w:lang w:val="ka-GE"/>
        </w:rPr>
        <w:t>2018 წლის იანვარ</w:t>
      </w:r>
      <w:r w:rsidR="00503A6B">
        <w:t>-</w:t>
      </w:r>
      <w:r w:rsidR="00ED1A7C">
        <w:rPr>
          <w:lang w:val="ka-GE"/>
        </w:rPr>
        <w:t>თებერვალში</w:t>
      </w:r>
      <w:r w:rsidR="00FF3FE9">
        <w:rPr>
          <w:lang w:val="ka-GE"/>
        </w:rPr>
        <w:t xml:space="preserve"> </w:t>
      </w:r>
      <w:r w:rsidR="004E1A37">
        <w:rPr>
          <w:lang w:val="ka-GE"/>
        </w:rPr>
        <w:t xml:space="preserve">წინა წელთან შედარებით </w:t>
      </w:r>
      <w:r w:rsidR="00790CDE">
        <w:rPr>
          <w:lang w:val="ka-GE"/>
        </w:rPr>
        <w:t>3.</w:t>
      </w:r>
      <w:r w:rsidR="00356D83">
        <w:t>2</w:t>
      </w:r>
      <w:r w:rsidR="00790CDE">
        <w:rPr>
          <w:lang w:val="ka-GE"/>
        </w:rPr>
        <w:t xml:space="preserve"> პროცენტული პუნქტით შემცირდა რუსეთის წილი ფულადი გზავნილების მოცულობაში</w:t>
      </w:r>
      <w:r w:rsidR="00356D83">
        <w:t xml:space="preserve">. </w:t>
      </w:r>
      <w:r w:rsidR="00FF3FE9">
        <w:rPr>
          <w:lang w:val="ka-GE"/>
        </w:rPr>
        <w:t xml:space="preserve"> ამასთან,</w:t>
      </w:r>
      <w:r w:rsidR="009B2D7A">
        <w:rPr>
          <w:lang w:val="ka-GE"/>
        </w:rPr>
        <w:t xml:space="preserve"> 2018 წლის იანვარ</w:t>
      </w:r>
      <w:r w:rsidR="00A45A43">
        <w:rPr>
          <w:lang w:val="ka-GE"/>
        </w:rPr>
        <w:t>-თებერვალში</w:t>
      </w:r>
      <w:r w:rsidR="00FF3FE9">
        <w:rPr>
          <w:lang w:val="ka-GE"/>
        </w:rPr>
        <w:t xml:space="preserve"> </w:t>
      </w:r>
      <w:r w:rsidR="00790CDE">
        <w:rPr>
          <w:lang w:val="ka-GE"/>
        </w:rPr>
        <w:t xml:space="preserve">ფულადი გზავნილების მნიშვნელოვანი </w:t>
      </w:r>
      <w:r w:rsidR="00272935">
        <w:rPr>
          <w:lang w:val="ka-GE"/>
        </w:rPr>
        <w:t xml:space="preserve">ზრდა დაფიქსირდა </w:t>
      </w:r>
      <w:r w:rsidR="00272935">
        <w:t xml:space="preserve"> </w:t>
      </w:r>
      <w:r w:rsidR="009B2D7A">
        <w:rPr>
          <w:lang w:val="ka-GE"/>
        </w:rPr>
        <w:t xml:space="preserve">იტალიიდან, აშშ-დან, ისრაელიდან და თურქეთიდან. </w:t>
      </w:r>
    </w:p>
    <w:p w:rsidR="008E623E" w:rsidRPr="002F6625" w:rsidRDefault="008E623E" w:rsidP="00254BEE">
      <w:pPr>
        <w:pStyle w:val="BodyText"/>
        <w:tabs>
          <w:tab w:val="decimal" w:pos="90"/>
          <w:tab w:val="decimal" w:pos="2430"/>
        </w:tabs>
        <w:spacing w:before="50"/>
        <w:jc w:val="both"/>
      </w:pPr>
      <w:r>
        <w:rPr>
          <w:noProof/>
        </w:rPr>
        <w:drawing>
          <wp:inline distT="0" distB="0" distL="0" distR="0" wp14:anchorId="1BBC5788" wp14:editId="2376C277">
            <wp:extent cx="5943600" cy="226949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B52CE" w:rsidRPr="00630D10" w:rsidRDefault="00EB52CE" w:rsidP="00254BEE">
      <w:pPr>
        <w:pStyle w:val="BodyText"/>
        <w:tabs>
          <w:tab w:val="decimal" w:pos="90"/>
          <w:tab w:val="decimal" w:pos="2430"/>
        </w:tabs>
        <w:spacing w:before="50"/>
        <w:jc w:val="both"/>
        <w:rPr>
          <w:lang w:val="ka-GE"/>
        </w:rPr>
      </w:pPr>
    </w:p>
    <w:p w:rsidR="00EB52CE" w:rsidRPr="00630D10" w:rsidRDefault="00EB52CE" w:rsidP="00254BEE">
      <w:pPr>
        <w:pStyle w:val="BodyText"/>
        <w:tabs>
          <w:tab w:val="decimal" w:pos="90"/>
          <w:tab w:val="decimal" w:pos="2430"/>
        </w:tabs>
        <w:spacing w:before="50"/>
        <w:jc w:val="both"/>
        <w:rPr>
          <w:lang w:val="ka-GE"/>
        </w:rPr>
      </w:pPr>
    </w:p>
    <w:p w:rsidR="00EB52CE" w:rsidRPr="00630D10" w:rsidRDefault="00EB52CE" w:rsidP="00254BEE">
      <w:pPr>
        <w:pStyle w:val="Heading1"/>
        <w:spacing w:line="240" w:lineRule="auto"/>
      </w:pPr>
      <w:bookmarkStart w:id="19" w:name="_Toc511217323"/>
      <w:r w:rsidRPr="00630D10">
        <w:t>მიმდინარე  ანგარიშის ბალანსი</w:t>
      </w:r>
      <w:bookmarkEnd w:id="19"/>
    </w:p>
    <w:p w:rsidR="002C3155" w:rsidRDefault="002C3155" w:rsidP="00254BEE">
      <w:pPr>
        <w:pStyle w:val="BodyText"/>
        <w:tabs>
          <w:tab w:val="decimal" w:pos="90"/>
          <w:tab w:val="decimal" w:pos="2430"/>
        </w:tabs>
        <w:spacing w:before="46"/>
        <w:jc w:val="both"/>
        <w:rPr>
          <w:lang w:val="ka-GE"/>
        </w:rPr>
      </w:pPr>
    </w:p>
    <w:p w:rsidR="000B772D" w:rsidRDefault="000B772D" w:rsidP="00254BEE">
      <w:pPr>
        <w:pStyle w:val="BodyText"/>
        <w:tabs>
          <w:tab w:val="decimal" w:pos="90"/>
          <w:tab w:val="decimal" w:pos="2430"/>
        </w:tabs>
        <w:spacing w:before="46"/>
        <w:jc w:val="both"/>
        <w:rPr>
          <w:lang w:val="ka-GE"/>
        </w:rPr>
      </w:pPr>
      <w:r>
        <w:rPr>
          <w:lang w:val="ka-GE"/>
        </w:rPr>
        <w:t>ეკონომიკური ზრდის პარალელურად მცირდება საგარეო მოწყვლადობის დონე და იზრდება მდგრადობა საგარეო შოკების მიმართ</w:t>
      </w:r>
      <w:r w:rsidR="00B43B55">
        <w:rPr>
          <w:lang w:val="ka-GE"/>
        </w:rPr>
        <w:t xml:space="preserve">, </w:t>
      </w:r>
      <w:proofErr w:type="spellStart"/>
      <w:r w:rsidR="00B43B55" w:rsidRPr="00B43B55">
        <w:rPr>
          <w:lang w:val="ka-GE"/>
        </w:rPr>
        <w:t>რისი</w:t>
      </w:r>
      <w:proofErr w:type="spellEnd"/>
      <w:r w:rsidR="00B43B55" w:rsidRPr="00B43B55">
        <w:rPr>
          <w:lang w:val="ka-GE"/>
        </w:rPr>
        <w:t xml:space="preserve"> თქმის საფუძველსაც მიმდინარე ანგარიშის ბალანსის პოზიტიური დინამიკა იძლევა.</w:t>
      </w:r>
      <w:r w:rsidR="00B43B55">
        <w:rPr>
          <w:lang w:val="ka-GE"/>
        </w:rPr>
        <w:t xml:space="preserve"> </w:t>
      </w:r>
    </w:p>
    <w:p w:rsidR="00B43B55" w:rsidRPr="007F757B" w:rsidRDefault="00B43B55" w:rsidP="00254BEE">
      <w:pPr>
        <w:pStyle w:val="BodyText"/>
        <w:tabs>
          <w:tab w:val="decimal" w:pos="90"/>
          <w:tab w:val="decimal" w:pos="2430"/>
        </w:tabs>
        <w:spacing w:before="46"/>
        <w:jc w:val="both"/>
        <w:rPr>
          <w:lang w:val="ka-GE"/>
        </w:rPr>
      </w:pPr>
      <w:r w:rsidRPr="00630D10">
        <w:rPr>
          <w:lang w:val="ka-GE"/>
        </w:rPr>
        <w:t>2017 წ</w:t>
      </w:r>
      <w:r w:rsidR="00D85ABF">
        <w:rPr>
          <w:lang w:val="ka-GE"/>
        </w:rPr>
        <w:t xml:space="preserve">ელს </w:t>
      </w:r>
      <w:r w:rsidRPr="00630D10">
        <w:rPr>
          <w:lang w:val="ka-GE"/>
        </w:rPr>
        <w:t>მიმდინარე ანგარიშის დეფიციტმა</w:t>
      </w:r>
      <w:r w:rsidR="003956EE">
        <w:rPr>
          <w:lang w:val="ka-GE"/>
        </w:rPr>
        <w:t xml:space="preserve"> </w:t>
      </w:r>
      <w:r w:rsidR="00B54A95">
        <w:t>1,316</w:t>
      </w:r>
      <w:r w:rsidR="005C442A">
        <w:t xml:space="preserve"> </w:t>
      </w:r>
      <w:r w:rsidR="005C442A">
        <w:rPr>
          <w:lang w:val="ka-GE"/>
        </w:rPr>
        <w:t>მლნ აშშ დოლარი -</w:t>
      </w:r>
      <w:r w:rsidRPr="00630D10">
        <w:rPr>
          <w:lang w:val="ka-GE"/>
        </w:rPr>
        <w:t xml:space="preserve"> </w:t>
      </w:r>
      <w:proofErr w:type="spellStart"/>
      <w:r w:rsidRPr="00630D10">
        <w:rPr>
          <w:lang w:val="ka-GE"/>
        </w:rPr>
        <w:t>მშპ</w:t>
      </w:r>
      <w:proofErr w:type="spellEnd"/>
      <w:r w:rsidRPr="00630D10">
        <w:rPr>
          <w:lang w:val="ka-GE"/>
        </w:rPr>
        <w:t>-ს</w:t>
      </w:r>
      <w:r>
        <w:rPr>
          <w:lang w:val="ka-GE"/>
        </w:rPr>
        <w:t xml:space="preserve"> </w:t>
      </w:r>
      <w:r w:rsidR="00B54A95">
        <w:t>8.7</w:t>
      </w:r>
      <w:r>
        <w:rPr>
          <w:lang w:val="ka-GE"/>
        </w:rPr>
        <w:t xml:space="preserve"> პროცენტი</w:t>
      </w:r>
      <w:r w:rsidRPr="00630D10">
        <w:rPr>
          <w:lang w:val="ka-GE"/>
        </w:rPr>
        <w:t xml:space="preserve"> შეადგინა და წლიურად 4.1 პროცენტული პუნქტით </w:t>
      </w:r>
      <w:r w:rsidR="005C442A" w:rsidRPr="009A36A0">
        <w:rPr>
          <w:lang w:val="ka-GE"/>
        </w:rPr>
        <w:t xml:space="preserve"> </w:t>
      </w:r>
      <w:r w:rsidR="005C442A">
        <w:rPr>
          <w:lang w:val="ka-GE"/>
        </w:rPr>
        <w:t xml:space="preserve">- </w:t>
      </w:r>
      <w:r w:rsidR="00B54A95">
        <w:t>531.3</w:t>
      </w:r>
      <w:r w:rsidR="005C442A" w:rsidRPr="009A36A0">
        <w:rPr>
          <w:lang w:val="ka-GE"/>
        </w:rPr>
        <w:t xml:space="preserve"> მლნ. აშშ დოლარით გაუმჯობესდა</w:t>
      </w:r>
      <w:r w:rsidR="005C442A">
        <w:rPr>
          <w:lang w:val="ka-GE"/>
        </w:rPr>
        <w:t xml:space="preserve">. </w:t>
      </w:r>
      <w:r w:rsidR="007F757B">
        <w:rPr>
          <w:lang w:val="ka-GE"/>
        </w:rPr>
        <w:t xml:space="preserve">აღნიშნული ბოლო წლების განმავლობაში ერთ-ერთი ყველაზე დაბალი მაჩვენებელია. </w:t>
      </w:r>
    </w:p>
    <w:p w:rsidR="00EB52CE" w:rsidRPr="00630D10" w:rsidRDefault="00EB52CE" w:rsidP="00254BEE">
      <w:pPr>
        <w:pStyle w:val="BodyText"/>
        <w:tabs>
          <w:tab w:val="decimal" w:pos="90"/>
          <w:tab w:val="decimal" w:pos="2430"/>
        </w:tabs>
        <w:spacing w:before="46"/>
        <w:jc w:val="both"/>
        <w:rPr>
          <w:lang w:val="ka-GE"/>
        </w:rPr>
      </w:pPr>
      <w:r w:rsidRPr="00630D10">
        <w:rPr>
          <w:lang w:val="ka-GE"/>
        </w:rPr>
        <w:t>მიმდინარე ანგარიშის  გაუმჯობესებაზე მნიშვნელოვანი გავლენა მომსახურების ბალანსის დადებითი სალდოს ზრდამ მოახდინა.</w:t>
      </w:r>
      <w:r w:rsidR="003956EE">
        <w:rPr>
          <w:lang w:val="ka-GE"/>
        </w:rPr>
        <w:t xml:space="preserve"> 2017 წ</w:t>
      </w:r>
      <w:r w:rsidR="00834B7D">
        <w:rPr>
          <w:lang w:val="ka-GE"/>
        </w:rPr>
        <w:t>ელს</w:t>
      </w:r>
      <w:r w:rsidR="003956EE">
        <w:rPr>
          <w:lang w:val="ka-GE"/>
        </w:rPr>
        <w:t xml:space="preserve"> </w:t>
      </w:r>
      <w:r w:rsidR="003956EE" w:rsidRPr="009A36A0">
        <w:rPr>
          <w:lang w:val="ka-GE"/>
        </w:rPr>
        <w:t xml:space="preserve">მომსახურების </w:t>
      </w:r>
      <w:r w:rsidR="003956EE">
        <w:rPr>
          <w:lang w:val="ka-GE"/>
        </w:rPr>
        <w:t>ბალანსი</w:t>
      </w:r>
      <w:r w:rsidR="003956EE" w:rsidRPr="009A36A0">
        <w:rPr>
          <w:lang w:val="ka-GE"/>
        </w:rPr>
        <w:t xml:space="preserve"> </w:t>
      </w:r>
      <w:r w:rsidR="00A44F7F">
        <w:rPr>
          <w:lang w:val="ka-GE"/>
        </w:rPr>
        <w:t>27.7</w:t>
      </w:r>
      <w:r w:rsidR="003956EE" w:rsidRPr="00D97970">
        <w:rPr>
          <w:lang w:val="ka-GE"/>
        </w:rPr>
        <w:t>%-ით (</w:t>
      </w:r>
      <w:r w:rsidR="00A44F7F">
        <w:rPr>
          <w:lang w:val="ka-GE"/>
        </w:rPr>
        <w:t>449.3</w:t>
      </w:r>
      <w:r w:rsidR="003956EE" w:rsidRPr="00D97970">
        <w:rPr>
          <w:lang w:val="ka-GE"/>
        </w:rPr>
        <w:t xml:space="preserve"> მლნ. აშშ. დოლარით)</w:t>
      </w:r>
      <w:r w:rsidR="003956EE" w:rsidRPr="009A36A0">
        <w:rPr>
          <w:lang w:val="ka-GE"/>
        </w:rPr>
        <w:t xml:space="preserve"> გაიზარდა</w:t>
      </w:r>
      <w:r w:rsidR="003956EE">
        <w:rPr>
          <w:lang w:val="ka-GE"/>
        </w:rPr>
        <w:t xml:space="preserve"> და </w:t>
      </w:r>
      <w:r w:rsidR="00A44F7F">
        <w:rPr>
          <w:lang w:val="ka-GE"/>
        </w:rPr>
        <w:t>2 06</w:t>
      </w:r>
      <w:r w:rsidR="001E60B6">
        <w:rPr>
          <w:lang w:val="ka-GE"/>
        </w:rPr>
        <w:t>9</w:t>
      </w:r>
      <w:r w:rsidR="003956EE">
        <w:rPr>
          <w:lang w:val="ka-GE"/>
        </w:rPr>
        <w:t>.</w:t>
      </w:r>
      <w:r w:rsidR="001E60B6">
        <w:rPr>
          <w:lang w:val="ka-GE"/>
        </w:rPr>
        <w:t>3</w:t>
      </w:r>
      <w:r w:rsidR="003956EE">
        <w:rPr>
          <w:lang w:val="ka-GE"/>
        </w:rPr>
        <w:t xml:space="preserve"> მლნ აშშ დოლარი შეადგინა. მომსახურების ექსპორტ</w:t>
      </w:r>
      <w:r w:rsidR="00275952">
        <w:rPr>
          <w:lang w:val="ka-GE"/>
        </w:rPr>
        <w:t>ის</w:t>
      </w:r>
      <w:r w:rsidR="003956EE">
        <w:rPr>
          <w:lang w:val="ka-GE"/>
        </w:rPr>
        <w:t xml:space="preserve"> ყველაზე მაღალი წილი -</w:t>
      </w:r>
      <w:r w:rsidR="003956EE">
        <w:t xml:space="preserve"> </w:t>
      </w:r>
      <w:r w:rsidR="00EC286A">
        <w:rPr>
          <w:lang w:val="ka-GE"/>
        </w:rPr>
        <w:t>68</w:t>
      </w:r>
      <w:r w:rsidR="003956EE">
        <w:rPr>
          <w:lang w:val="ka-GE"/>
        </w:rPr>
        <w:t xml:space="preserve">% ტურიზმზე მოდის. </w:t>
      </w:r>
    </w:p>
    <w:p w:rsidR="00EB52CE" w:rsidRPr="00634906" w:rsidRDefault="00EB52CE" w:rsidP="00254BEE">
      <w:pPr>
        <w:pStyle w:val="BodyText"/>
        <w:tabs>
          <w:tab w:val="decimal" w:pos="90"/>
          <w:tab w:val="decimal" w:pos="2430"/>
        </w:tabs>
        <w:spacing w:before="46"/>
        <w:jc w:val="both"/>
      </w:pPr>
      <w:r w:rsidRPr="00630D10">
        <w:rPr>
          <w:lang w:val="ka-GE"/>
        </w:rPr>
        <w:t xml:space="preserve">ამასთან, აღსანიშნავია, რომ 2017 </w:t>
      </w:r>
      <w:r w:rsidR="00E2062D">
        <w:rPr>
          <w:lang w:val="ka-GE"/>
        </w:rPr>
        <w:t>წელს</w:t>
      </w:r>
      <w:r w:rsidRPr="00630D10">
        <w:rPr>
          <w:lang w:val="ka-GE"/>
        </w:rPr>
        <w:t xml:space="preserve"> მიმდინარე ანგარიშის პირველადმა ბალანსმა</w:t>
      </w:r>
      <w:r w:rsidR="007F757B">
        <w:rPr>
          <w:lang w:val="ka-GE"/>
        </w:rPr>
        <w:t xml:space="preserve"> </w:t>
      </w:r>
      <w:r w:rsidR="007F757B" w:rsidRPr="00630D10">
        <w:rPr>
          <w:lang w:val="ka-GE"/>
        </w:rPr>
        <w:t>(შესწორებული - მიმდინარე ანგარიში საინვესტიციო შემოსავლების ბალანსის გამორიცხვით)</w:t>
      </w:r>
      <w:r w:rsidRPr="00630D10">
        <w:rPr>
          <w:lang w:val="ka-GE"/>
        </w:rPr>
        <w:t xml:space="preserve"> </w:t>
      </w:r>
      <w:proofErr w:type="spellStart"/>
      <w:r w:rsidRPr="00630D10">
        <w:rPr>
          <w:lang w:val="ka-GE"/>
        </w:rPr>
        <w:t>მშპ</w:t>
      </w:r>
      <w:proofErr w:type="spellEnd"/>
      <w:r w:rsidRPr="00630D10">
        <w:rPr>
          <w:lang w:val="ka-GE"/>
        </w:rPr>
        <w:t>-ს</w:t>
      </w:r>
      <w:r>
        <w:rPr>
          <w:lang w:val="ka-GE"/>
        </w:rPr>
        <w:t xml:space="preserve"> </w:t>
      </w:r>
      <w:r w:rsidR="00E2062D">
        <w:rPr>
          <w:lang w:val="ka-GE"/>
        </w:rPr>
        <w:t>0.8</w:t>
      </w:r>
      <w:r>
        <w:rPr>
          <w:lang w:val="ka-GE"/>
        </w:rPr>
        <w:t xml:space="preserve"> პროცენტი</w:t>
      </w:r>
      <w:r w:rsidRPr="00630D10">
        <w:rPr>
          <w:lang w:val="ka-GE"/>
        </w:rPr>
        <w:t xml:space="preserve"> შეადგინა</w:t>
      </w:r>
      <w:r w:rsidR="002E45BD">
        <w:t xml:space="preserve">, </w:t>
      </w:r>
      <w:r w:rsidR="002E45BD" w:rsidRPr="00B261BF">
        <w:rPr>
          <w:lang w:val="ka-GE"/>
        </w:rPr>
        <w:t xml:space="preserve">რაც უპრეცედენტოა და აქამდე პირველადი ბალანსის დადებითი მნიშვნელობა  წლიურ ჭრილში არ </w:t>
      </w:r>
      <w:proofErr w:type="spellStart"/>
      <w:r w:rsidR="002E45BD" w:rsidRPr="00B261BF">
        <w:rPr>
          <w:lang w:val="ka-GE"/>
        </w:rPr>
        <w:t>დაფიქსირებულა</w:t>
      </w:r>
      <w:proofErr w:type="spellEnd"/>
      <w:r w:rsidR="002E45BD" w:rsidRPr="00B261BF">
        <w:rPr>
          <w:lang w:val="ka-GE"/>
        </w:rPr>
        <w:t>.</w:t>
      </w:r>
      <w:r w:rsidR="00C5556E">
        <w:rPr>
          <w:lang w:val="ka-GE"/>
        </w:rPr>
        <w:t xml:space="preserve"> ეს კი იმას ნიშნავს, ჩვენ არათუ ვაფინანსებთ მიმდინარე ოპერაციებს დანარჩენ სამყაროსთან, არამედ პროფიციტულ პოზიციაშიც ვართ.</w:t>
      </w:r>
      <w:r w:rsidR="00907467">
        <w:t xml:space="preserve"> </w:t>
      </w:r>
    </w:p>
    <w:p w:rsidR="00EB52CE" w:rsidRPr="00634906" w:rsidRDefault="00EB52CE" w:rsidP="00254BEE">
      <w:pPr>
        <w:pStyle w:val="BodyText"/>
        <w:tabs>
          <w:tab w:val="decimal" w:pos="90"/>
          <w:tab w:val="decimal" w:pos="2430"/>
        </w:tabs>
        <w:spacing w:before="46"/>
        <w:jc w:val="both"/>
      </w:pPr>
      <w:r w:rsidRPr="00630D10">
        <w:rPr>
          <w:lang w:val="ka-GE"/>
        </w:rPr>
        <w:t xml:space="preserve">მიმდინარე ანგარიშის დეფიციტის დაფინანსების მთავარ წყაროს პირდაპირი უცხოური ინვესტიციები წარმოადგენს. 2017 </w:t>
      </w:r>
      <w:r w:rsidR="00E2062D">
        <w:rPr>
          <w:lang w:val="ka-GE"/>
        </w:rPr>
        <w:t>წელს</w:t>
      </w:r>
      <w:r w:rsidRPr="00630D10">
        <w:rPr>
          <w:lang w:val="ka-GE"/>
        </w:rPr>
        <w:t xml:space="preserve"> პირდაპირი უცხოური ინვესტიციების ბალანსმა </w:t>
      </w:r>
      <w:r w:rsidR="00E2062D">
        <w:rPr>
          <w:lang w:val="ka-GE"/>
        </w:rPr>
        <w:t xml:space="preserve">1.8 </w:t>
      </w:r>
      <w:r w:rsidR="002E45BD">
        <w:rPr>
          <w:lang w:val="ka-GE"/>
        </w:rPr>
        <w:t>პროცენტული პუნქტით</w:t>
      </w:r>
      <w:r w:rsidRPr="00630D10">
        <w:rPr>
          <w:lang w:val="ka-GE"/>
        </w:rPr>
        <w:t xml:space="preserve"> გადააჭარბა მიმდინარე ანგარიშის დეფიციტს, ხოლო ვალით დაფინანსებული დეფიციტი უარყოფითი იყო. პირდაპირი უცხოური ინვესტიციების ბალანსმა 2017 </w:t>
      </w:r>
      <w:r w:rsidR="00035B2C">
        <w:rPr>
          <w:lang w:val="ka-GE"/>
        </w:rPr>
        <w:t>წელს</w:t>
      </w:r>
      <w:r w:rsidRPr="00630D10">
        <w:rPr>
          <w:lang w:val="ka-GE"/>
        </w:rPr>
        <w:t xml:space="preserve"> </w:t>
      </w:r>
      <w:proofErr w:type="spellStart"/>
      <w:r w:rsidRPr="00630D10">
        <w:rPr>
          <w:lang w:val="ka-GE"/>
        </w:rPr>
        <w:t>მშპ</w:t>
      </w:r>
      <w:proofErr w:type="spellEnd"/>
      <w:r w:rsidRPr="00630D10">
        <w:rPr>
          <w:lang w:val="ka-GE"/>
        </w:rPr>
        <w:t>-ს</w:t>
      </w:r>
      <w:r>
        <w:rPr>
          <w:lang w:val="ka-GE"/>
        </w:rPr>
        <w:t xml:space="preserve"> 10.5 პროცენტი</w:t>
      </w:r>
      <w:r w:rsidRPr="00630D10">
        <w:rPr>
          <w:lang w:val="ka-GE"/>
        </w:rPr>
        <w:t xml:space="preserve"> შეადგინა. </w:t>
      </w:r>
    </w:p>
    <w:p w:rsidR="00EB52CE" w:rsidRDefault="00EB52CE" w:rsidP="00254BEE">
      <w:pPr>
        <w:pStyle w:val="BodyText"/>
        <w:tabs>
          <w:tab w:val="decimal" w:pos="90"/>
          <w:tab w:val="decimal" w:pos="2430"/>
        </w:tabs>
        <w:spacing w:before="46"/>
        <w:jc w:val="both"/>
        <w:rPr>
          <w:lang w:val="ka-GE"/>
        </w:rPr>
      </w:pPr>
      <w:r w:rsidRPr="00630D10">
        <w:rPr>
          <w:noProof/>
          <w:shd w:val="clear" w:color="auto" w:fill="FFFFFF" w:themeFill="background1"/>
        </w:rPr>
        <w:drawing>
          <wp:inline distT="0" distB="0" distL="0" distR="0" wp14:anchorId="021AED4E" wp14:editId="5E0E77B7">
            <wp:extent cx="6086475" cy="222885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20" w:name="_bookmark13"/>
      <w:bookmarkEnd w:id="20"/>
    </w:p>
    <w:p w:rsidR="002C3155" w:rsidRPr="00630D10" w:rsidRDefault="002C3155" w:rsidP="00254BEE">
      <w:pPr>
        <w:pStyle w:val="BodyText"/>
        <w:tabs>
          <w:tab w:val="decimal" w:pos="90"/>
          <w:tab w:val="decimal" w:pos="2430"/>
        </w:tabs>
        <w:spacing w:before="46"/>
        <w:jc w:val="both"/>
        <w:rPr>
          <w:lang w:val="ka-GE"/>
        </w:rPr>
      </w:pPr>
    </w:p>
    <w:p w:rsidR="00EB52CE" w:rsidRPr="00630D10" w:rsidRDefault="00EB52CE" w:rsidP="00254BEE">
      <w:pPr>
        <w:pStyle w:val="Heading1"/>
        <w:spacing w:line="240" w:lineRule="auto"/>
      </w:pPr>
      <w:bookmarkStart w:id="21" w:name="_Toc511217324"/>
      <w:r w:rsidRPr="00630D10">
        <w:t>საკრედიტო  რეიტინგები</w:t>
      </w:r>
      <w:bookmarkStart w:id="22" w:name="_bookmark7"/>
      <w:bookmarkEnd w:id="21"/>
      <w:bookmarkEnd w:id="22"/>
    </w:p>
    <w:p w:rsidR="002C3155" w:rsidRDefault="002C3155" w:rsidP="00254BEE">
      <w:pPr>
        <w:pStyle w:val="BodyText"/>
        <w:jc w:val="both"/>
        <w:rPr>
          <w:lang w:val="ka-GE"/>
        </w:rPr>
      </w:pPr>
    </w:p>
    <w:p w:rsidR="00EB52CE" w:rsidRPr="00630D10" w:rsidRDefault="00EB52CE" w:rsidP="00254BEE">
      <w:pPr>
        <w:pStyle w:val="BodyText"/>
        <w:jc w:val="both"/>
        <w:rPr>
          <w:lang w:val="ka-GE"/>
        </w:rPr>
      </w:pPr>
      <w:r w:rsidRPr="00630D10">
        <w:rPr>
          <w:lang w:val="ka-GE"/>
        </w:rPr>
        <w:t xml:space="preserve">საქართველო აქტიურად </w:t>
      </w:r>
      <w:r>
        <w:rPr>
          <w:lang w:val="ka-GE"/>
        </w:rPr>
        <w:t>თანამშრომლობ</w:t>
      </w:r>
      <w:r w:rsidRPr="00630D10">
        <w:rPr>
          <w:lang w:val="ka-GE"/>
        </w:rPr>
        <w:t xml:space="preserve">ს საერთაშორისო სარეიტინგო კომპანიებთან „Standard &amp; </w:t>
      </w:r>
      <w:proofErr w:type="spellStart"/>
      <w:r w:rsidRPr="00630D10">
        <w:rPr>
          <w:lang w:val="ka-GE"/>
        </w:rPr>
        <w:t>Poor’s</w:t>
      </w:r>
      <w:proofErr w:type="spellEnd"/>
      <w:r w:rsidRPr="00630D10">
        <w:rPr>
          <w:lang w:val="ka-GE"/>
        </w:rPr>
        <w:t>“, „</w:t>
      </w:r>
      <w:proofErr w:type="spellStart"/>
      <w:r w:rsidRPr="00630D10">
        <w:rPr>
          <w:lang w:val="ka-GE"/>
        </w:rPr>
        <w:t>Fitch</w:t>
      </w:r>
      <w:proofErr w:type="spellEnd"/>
      <w:r w:rsidRPr="00630D10">
        <w:rPr>
          <w:lang w:val="ka-GE"/>
        </w:rPr>
        <w:t>“ და „</w:t>
      </w:r>
      <w:proofErr w:type="spellStart"/>
      <w:r w:rsidRPr="00630D10">
        <w:rPr>
          <w:lang w:val="ka-GE"/>
        </w:rPr>
        <w:t>Moody’s</w:t>
      </w:r>
      <w:proofErr w:type="spellEnd"/>
      <w:r w:rsidRPr="00630D10">
        <w:rPr>
          <w:lang w:val="ka-GE"/>
        </w:rPr>
        <w:t xml:space="preserve">“. </w:t>
      </w:r>
    </w:p>
    <w:p w:rsidR="00EB52CE" w:rsidRDefault="00EB52CE" w:rsidP="00254BEE">
      <w:pPr>
        <w:pStyle w:val="BodyText"/>
        <w:jc w:val="both"/>
        <w:rPr>
          <w:lang w:val="ka-GE"/>
        </w:rPr>
      </w:pPr>
      <w:r w:rsidRPr="00362935">
        <w:rPr>
          <w:b/>
          <w:lang w:val="ka-GE"/>
        </w:rPr>
        <w:t xml:space="preserve">2017 წლის სექტემბერში </w:t>
      </w:r>
      <w:proofErr w:type="spellStart"/>
      <w:r w:rsidRPr="00362935">
        <w:rPr>
          <w:b/>
          <w:lang w:val="ka-GE"/>
        </w:rPr>
        <w:t>Moody’s</w:t>
      </w:r>
      <w:proofErr w:type="spellEnd"/>
      <w:r w:rsidRPr="00362935">
        <w:rPr>
          <w:b/>
          <w:lang w:val="ka-GE"/>
        </w:rPr>
        <w:t>-მა გააუმჯობესა საქართველოს სუვერენული საკრედიტო რეიტინგი Ba3-დან Ba2-მდე.</w:t>
      </w:r>
      <w:r w:rsidRPr="00630D10">
        <w:rPr>
          <w:lang w:val="ka-GE"/>
        </w:rPr>
        <w:t xml:space="preserve"> სარეიტინგო კომპანიის მიერ </w:t>
      </w:r>
      <w:r w:rsidRPr="000822EB">
        <w:rPr>
          <w:b/>
          <w:lang w:val="ka-GE"/>
        </w:rPr>
        <w:t>რეიტინგის გაუმჯობესება და რეიტინგის სტაბილური პერსპექტივა</w:t>
      </w:r>
      <w:r w:rsidRPr="008C01E7">
        <w:rPr>
          <w:b/>
          <w:lang w:val="ka-GE"/>
        </w:rPr>
        <w:t xml:space="preserve"> </w:t>
      </w:r>
      <w:r w:rsidRPr="000822EB">
        <w:rPr>
          <w:b/>
          <w:lang w:val="ka-GE"/>
        </w:rPr>
        <w:t>განპირობებულია საქართველოს სტაბილური მაკროეკონომიკური გარემოს შენარჩუნებით</w:t>
      </w:r>
      <w:r w:rsidRPr="00630D10">
        <w:rPr>
          <w:lang w:val="ka-GE"/>
        </w:rPr>
        <w:t xml:space="preserve"> 2014 წლის შემდგომ რეგიონში მიმდინარე ეკონომიკური შოკების ფონზე, რაც ეკონომიკის მოწყვლადობის  შემცირებასა და ინსტიტუციური გარემოს გაძლიერებაზე მიანიშნებს.</w:t>
      </w:r>
    </w:p>
    <w:p w:rsidR="00F312C6" w:rsidRPr="00630D10" w:rsidRDefault="00F312C6" w:rsidP="00254BEE">
      <w:pPr>
        <w:pStyle w:val="BodyText"/>
        <w:jc w:val="both"/>
        <w:rPr>
          <w:lang w:val="ka-GE"/>
        </w:rPr>
      </w:pPr>
      <w:r>
        <w:rPr>
          <w:b/>
          <w:lang w:val="ka-GE"/>
        </w:rPr>
        <w:t>ამასთან, 2018</w:t>
      </w:r>
      <w:r w:rsidRPr="00D43631">
        <w:rPr>
          <w:b/>
          <w:lang w:val="ka-GE"/>
        </w:rPr>
        <w:t xml:space="preserve"> წლის მარტში სარეიტინგო კომპანია „</w:t>
      </w:r>
      <w:proofErr w:type="spellStart"/>
      <w:r w:rsidRPr="00634906">
        <w:rPr>
          <w:b/>
          <w:lang w:val="ka-GE"/>
        </w:rPr>
        <w:t>Fitch</w:t>
      </w:r>
      <w:proofErr w:type="spellEnd"/>
      <w:r w:rsidRPr="00634906">
        <w:rPr>
          <w:b/>
          <w:lang w:val="ka-GE"/>
        </w:rPr>
        <w:t>”-</w:t>
      </w:r>
      <w:r w:rsidRPr="00D43631">
        <w:rPr>
          <w:b/>
          <w:lang w:val="ka-GE"/>
        </w:rPr>
        <w:t>მა</w:t>
      </w:r>
      <w:r w:rsidR="00181DD4">
        <w:rPr>
          <w:b/>
          <w:lang w:val="ka-GE"/>
        </w:rPr>
        <w:t>ც</w:t>
      </w:r>
      <w:r w:rsidRPr="00D43631">
        <w:rPr>
          <w:b/>
          <w:lang w:val="ka-GE"/>
        </w:rPr>
        <w:t xml:space="preserve"> </w:t>
      </w:r>
      <w:r w:rsidRPr="00D43631">
        <w:rPr>
          <w:rFonts w:eastAsia="Calibri" w:cs="Calibri"/>
          <w:b/>
          <w:lang w:val="ka-GE"/>
        </w:rPr>
        <w:t>გააუმჯობესა საქართველოს სუვერენული საკრედიტო რეიტინგის პერსპექტივა სტაბილურიდან პოზიტიურის მიმართულებით</w:t>
      </w:r>
      <w:r>
        <w:rPr>
          <w:rFonts w:eastAsia="Calibri" w:cs="Calibri"/>
          <w:b/>
          <w:lang w:val="ka-GE"/>
        </w:rPr>
        <w:t>, რაც კიდევ უფრო აძლიერებს საქართველოს მიმართ საერთაშორისო ინსტიტუტების და ინვესტორების ნდობას და პოზიტიურად აისახება ქვეყნის ბიზნეს გარემოზე.</w:t>
      </w:r>
    </w:p>
    <w:p w:rsidR="00EB52CE" w:rsidRDefault="00EB52CE" w:rsidP="00254BEE">
      <w:pPr>
        <w:pStyle w:val="BodyText"/>
        <w:jc w:val="both"/>
        <w:rPr>
          <w:b/>
          <w:lang w:val="ka-GE"/>
        </w:rPr>
      </w:pPr>
      <w:r w:rsidRPr="000822EB">
        <w:rPr>
          <w:b/>
          <w:lang w:val="ka-GE"/>
        </w:rPr>
        <w:t xml:space="preserve">აღსანიშნავია, რომ რეგიონის ქვეყნებში საკრედიტო რეიტინგების გაუარესების ფონზე, ჩვენი ქვეყანა ინარჩუნებს სტაბილურ რეიტინგს „Standard &amp; </w:t>
      </w:r>
      <w:proofErr w:type="spellStart"/>
      <w:r w:rsidRPr="000822EB">
        <w:rPr>
          <w:b/>
          <w:lang w:val="ka-GE"/>
        </w:rPr>
        <w:t>Poor’s</w:t>
      </w:r>
      <w:proofErr w:type="spellEnd"/>
      <w:r w:rsidRPr="000822EB">
        <w:rPr>
          <w:b/>
          <w:lang w:val="ka-GE"/>
        </w:rPr>
        <w:t xml:space="preserve">“ </w:t>
      </w:r>
      <w:r w:rsidR="00181DD4">
        <w:rPr>
          <w:b/>
          <w:lang w:val="ka-GE"/>
        </w:rPr>
        <w:t>შეფასებით</w:t>
      </w:r>
      <w:r w:rsidRPr="000822EB">
        <w:rPr>
          <w:b/>
          <w:lang w:val="ka-GE"/>
        </w:rPr>
        <w:t xml:space="preserve"> “BB-” დონეზე.</w:t>
      </w:r>
    </w:p>
    <w:p w:rsidR="00440C97" w:rsidRPr="00630D10" w:rsidRDefault="00440C97" w:rsidP="00254BEE">
      <w:pPr>
        <w:pStyle w:val="BodyText"/>
        <w:jc w:val="both"/>
        <w:rPr>
          <w:lang w:val="ka-GE"/>
        </w:rPr>
      </w:pPr>
    </w:p>
    <w:p w:rsidR="00EB52CE" w:rsidRPr="00630D10" w:rsidRDefault="00EB52CE" w:rsidP="00254BEE">
      <w:pPr>
        <w:pStyle w:val="Heading1"/>
        <w:spacing w:line="240" w:lineRule="auto"/>
      </w:pPr>
      <w:bookmarkStart w:id="23" w:name="_Toc511217325"/>
      <w:r w:rsidRPr="00630D10">
        <w:t>უმუშევრობის დონე</w:t>
      </w:r>
      <w:bookmarkEnd w:id="23"/>
    </w:p>
    <w:p w:rsidR="004B5917" w:rsidRDefault="004B5917" w:rsidP="00254BEE">
      <w:pPr>
        <w:pStyle w:val="BodyText"/>
        <w:tabs>
          <w:tab w:val="decimal" w:pos="90"/>
          <w:tab w:val="decimal" w:pos="2430"/>
        </w:tabs>
        <w:spacing w:before="2"/>
        <w:jc w:val="both"/>
        <w:rPr>
          <w:b/>
          <w:lang w:val="ka-GE"/>
        </w:rPr>
      </w:pPr>
    </w:p>
    <w:p w:rsidR="00EB52CE" w:rsidRDefault="00EB52CE" w:rsidP="00254BEE">
      <w:pPr>
        <w:pStyle w:val="BodyText"/>
        <w:tabs>
          <w:tab w:val="decimal" w:pos="90"/>
          <w:tab w:val="decimal" w:pos="2430"/>
        </w:tabs>
        <w:spacing w:before="2"/>
        <w:jc w:val="both"/>
        <w:rPr>
          <w:lang w:val="ka-GE"/>
        </w:rPr>
      </w:pPr>
      <w:r w:rsidRPr="000822EB">
        <w:rPr>
          <w:b/>
          <w:lang w:val="ka-GE"/>
        </w:rPr>
        <w:t>2016 წელს უმუშევრობის დონე 0.2 პროცენტული პუნქტით შემცირდა და 11.8 პროცენტი შეადგინა.</w:t>
      </w:r>
      <w:r w:rsidRPr="00630D10">
        <w:rPr>
          <w:lang w:val="ka-GE"/>
        </w:rPr>
        <w:t xml:space="preserve"> 2016 წელს უმუშევრობის დონემ </w:t>
      </w:r>
      <w:r w:rsidRPr="000822EB">
        <w:rPr>
          <w:b/>
          <w:lang w:val="ka-GE"/>
        </w:rPr>
        <w:t>ბოლო 13 წლის განმავლობაში ყველაზე დაბალ ნიშნულს მიაღწია.</w:t>
      </w:r>
      <w:bookmarkStart w:id="24" w:name="_bookmark9"/>
      <w:bookmarkStart w:id="25" w:name="_bookmark10"/>
      <w:bookmarkEnd w:id="24"/>
      <w:bookmarkEnd w:id="25"/>
      <w:r w:rsidRPr="000822EB">
        <w:rPr>
          <w:b/>
          <w:lang w:val="ka-GE"/>
        </w:rPr>
        <w:t xml:space="preserve"> </w:t>
      </w:r>
      <w:r>
        <w:rPr>
          <w:lang w:val="ka-GE"/>
        </w:rPr>
        <w:t xml:space="preserve"> შრომის საერთაშორისო ორგანიზაციის</w:t>
      </w:r>
      <w:r w:rsidR="008C01E7">
        <w:rPr>
          <w:lang w:val="ka-GE"/>
        </w:rPr>
        <w:t xml:space="preserve"> </w:t>
      </w:r>
      <w:r w:rsidR="008C01E7" w:rsidRPr="000822EB">
        <w:rPr>
          <w:b/>
          <w:lang w:val="ka-GE"/>
        </w:rPr>
        <w:t>(</w:t>
      </w:r>
      <w:r w:rsidR="008C01E7" w:rsidRPr="00634906">
        <w:rPr>
          <w:b/>
          <w:lang w:val="ka-GE"/>
        </w:rPr>
        <w:t>ILO</w:t>
      </w:r>
      <w:r w:rsidR="008C01E7" w:rsidRPr="000822EB">
        <w:rPr>
          <w:b/>
          <w:lang w:val="ka-GE"/>
        </w:rPr>
        <w:t>)</w:t>
      </w:r>
      <w:r w:rsidRPr="000822EB">
        <w:rPr>
          <w:b/>
          <w:lang w:val="ka-GE"/>
        </w:rPr>
        <w:t xml:space="preserve"> შეფასებით უმუშევრობის დონემ 2017 წელს 11.6 პროცენტი შეადგინა </w:t>
      </w:r>
      <w:r>
        <w:rPr>
          <w:lang w:val="ka-GE"/>
        </w:rPr>
        <w:t xml:space="preserve">და წინა წელთან შედარებით 0.2 პროცენტული პუნქტით შემცირდა.  </w:t>
      </w:r>
    </w:p>
    <w:p w:rsidR="000B2C87" w:rsidRDefault="000B2C87" w:rsidP="00254BEE">
      <w:pPr>
        <w:pStyle w:val="BodyText"/>
        <w:tabs>
          <w:tab w:val="decimal" w:pos="90"/>
          <w:tab w:val="decimal" w:pos="2430"/>
        </w:tabs>
        <w:spacing w:before="2"/>
        <w:jc w:val="both"/>
        <w:rPr>
          <w:lang w:val="ka-GE"/>
        </w:rPr>
      </w:pPr>
      <w:r w:rsidRPr="000B2C87">
        <w:rPr>
          <w:noProof/>
        </w:rPr>
        <w:drawing>
          <wp:inline distT="0" distB="0" distL="0" distR="0" wp14:anchorId="6C139207" wp14:editId="45D612A0">
            <wp:extent cx="6172200" cy="204787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52CE" w:rsidRPr="00630D10" w:rsidRDefault="00EB52CE" w:rsidP="00254BEE">
      <w:pPr>
        <w:pStyle w:val="BodyText"/>
        <w:tabs>
          <w:tab w:val="decimal" w:pos="90"/>
          <w:tab w:val="decimal" w:pos="2430"/>
        </w:tabs>
        <w:spacing w:before="2"/>
        <w:jc w:val="both"/>
        <w:rPr>
          <w:lang w:val="ka-GE"/>
        </w:rPr>
      </w:pPr>
    </w:p>
    <w:p w:rsidR="00201B08" w:rsidRDefault="00275952" w:rsidP="00254BEE">
      <w:pPr>
        <w:pStyle w:val="Heading1"/>
        <w:spacing w:line="240" w:lineRule="auto"/>
      </w:pPr>
      <w:bookmarkStart w:id="26" w:name="_Toc511217326"/>
      <w:proofErr w:type="spellStart"/>
      <w:r>
        <w:t>ლარიზაცია</w:t>
      </w:r>
      <w:bookmarkEnd w:id="26"/>
      <w:proofErr w:type="spellEnd"/>
    </w:p>
    <w:p w:rsidR="00275952" w:rsidRPr="00634906" w:rsidRDefault="00275952" w:rsidP="00254BEE">
      <w:pPr>
        <w:pStyle w:val="BodyText"/>
        <w:tabs>
          <w:tab w:val="decimal" w:pos="90"/>
          <w:tab w:val="decimal" w:pos="2430"/>
        </w:tabs>
        <w:jc w:val="both"/>
        <w:rPr>
          <w:lang w:val="ka-GE"/>
        </w:rPr>
      </w:pPr>
    </w:p>
    <w:p w:rsidR="00181DD4" w:rsidRDefault="00275952" w:rsidP="00254BEE">
      <w:pPr>
        <w:jc w:val="both"/>
        <w:rPr>
          <w:lang w:val="ka-GE"/>
        </w:rPr>
      </w:pPr>
      <w:r w:rsidRPr="00FC466B">
        <w:rPr>
          <w:lang w:val="ka-GE"/>
        </w:rPr>
        <w:t xml:space="preserve">2017 წლის  დასაწყისიდან დოლარიზაციის შემცირების ტენდენცია სახეზეა. </w:t>
      </w:r>
      <w:r w:rsidR="00441653" w:rsidRPr="00181DD4">
        <w:rPr>
          <w:lang w:val="ka-GE"/>
        </w:rPr>
        <w:t xml:space="preserve">2018 წლის თებერვლის ბოლოსთვის დეპოზიტების </w:t>
      </w:r>
      <w:proofErr w:type="spellStart"/>
      <w:r w:rsidR="00441653" w:rsidRPr="00181DD4">
        <w:rPr>
          <w:lang w:val="ka-GE"/>
        </w:rPr>
        <w:t>ლარიზაცია</w:t>
      </w:r>
      <w:proofErr w:type="spellEnd"/>
      <w:r w:rsidR="00441653" w:rsidRPr="00181DD4">
        <w:rPr>
          <w:lang w:val="ka-GE"/>
        </w:rPr>
        <w:t xml:space="preserve"> გაიზარდა 28.6%-დან 36.2%-მდე (დოლარიზაცია შემცირდა 71.4%-დან 63.8%-მდე), ხოლო სესხების </w:t>
      </w:r>
      <w:proofErr w:type="spellStart"/>
      <w:r w:rsidR="00441653" w:rsidRPr="00181DD4">
        <w:rPr>
          <w:lang w:val="ka-GE"/>
        </w:rPr>
        <w:t>ლარიზაცია</w:t>
      </w:r>
      <w:proofErr w:type="spellEnd"/>
      <w:r w:rsidR="00441653" w:rsidRPr="00181DD4">
        <w:rPr>
          <w:lang w:val="ka-GE"/>
        </w:rPr>
        <w:t xml:space="preserve"> - 34.8%-დან 44.4%-მდე (სესხების დოლარიზაცია შემცირდა 65.2%-დან 55.6%-მდე). განსაკუთრებით მნიშვნელოვანი ცვლილებაა</w:t>
      </w:r>
      <w:r w:rsidR="00181DD4">
        <w:rPr>
          <w:lang w:val="ka-GE"/>
        </w:rPr>
        <w:t>,</w:t>
      </w:r>
      <w:r w:rsidR="00441653" w:rsidRPr="00181DD4">
        <w:rPr>
          <w:lang w:val="ka-GE"/>
        </w:rPr>
        <w:t xml:space="preserve"> ფიზიკური პირების სესხების </w:t>
      </w:r>
      <w:proofErr w:type="spellStart"/>
      <w:r w:rsidR="00441653" w:rsidRPr="00181DD4">
        <w:rPr>
          <w:lang w:val="ka-GE"/>
        </w:rPr>
        <w:t>ლარიზაციის</w:t>
      </w:r>
      <w:proofErr w:type="spellEnd"/>
      <w:r w:rsidR="00441653" w:rsidRPr="00181DD4">
        <w:rPr>
          <w:lang w:val="ka-GE"/>
        </w:rPr>
        <w:t xml:space="preserve"> ზრდ</w:t>
      </w:r>
      <w:r w:rsidR="00181DD4">
        <w:rPr>
          <w:lang w:val="ka-GE"/>
        </w:rPr>
        <w:t>ის მიმართულებით</w:t>
      </w:r>
      <w:r w:rsidR="00441653" w:rsidRPr="00181DD4">
        <w:rPr>
          <w:lang w:val="ka-GE"/>
        </w:rPr>
        <w:t>, რომელიც 41.6%-დან 56.0%-მდე გაიზარდა (დოლარიზაცია შემცირდა 58.4%-დან 44.0%-მდე).</w:t>
      </w:r>
      <w:r>
        <w:rPr>
          <w:lang w:val="ka-GE"/>
        </w:rPr>
        <w:t xml:space="preserve"> </w:t>
      </w:r>
      <w:r w:rsidR="00181DD4">
        <w:rPr>
          <w:lang w:val="ka-GE"/>
        </w:rPr>
        <w:t xml:space="preserve">ამასთან, </w:t>
      </w:r>
      <w:r>
        <w:rPr>
          <w:lang w:val="ka-GE"/>
        </w:rPr>
        <w:t xml:space="preserve">2017 </w:t>
      </w:r>
      <w:r w:rsidRPr="00FC466B">
        <w:rPr>
          <w:lang w:val="ka-GE"/>
        </w:rPr>
        <w:t>წლის მეორე ნახევრიდან ლარის დეპოზიტების მნიშვნელოვანი ზრდა ფიქსირდება, რაც ძირითადად ვადიანი დეპოზიტების ზრდით არის გამოწვეული. აღსანიშნავია, რომ</w:t>
      </w:r>
      <w:r w:rsidR="00181DD4">
        <w:rPr>
          <w:lang w:val="ka-GE"/>
        </w:rPr>
        <w:t xml:space="preserve"> 2018 წლის მარტის მდგომარეობით,</w:t>
      </w:r>
      <w:r w:rsidRPr="00FC466B">
        <w:rPr>
          <w:lang w:val="ka-GE"/>
        </w:rPr>
        <w:t xml:space="preserve"> ვადიანი დეპოზიტების წლიური ზრდა მთავრობის დეპოზიტების გამორიცხვით </w:t>
      </w:r>
      <w:r w:rsidR="00EB0186">
        <w:rPr>
          <w:lang w:val="ka-GE"/>
        </w:rPr>
        <w:t>3</w:t>
      </w:r>
      <w:r w:rsidR="004B5917">
        <w:rPr>
          <w:lang w:val="ka-GE"/>
        </w:rPr>
        <w:t>3</w:t>
      </w:r>
      <w:r w:rsidR="00EB0186">
        <w:rPr>
          <w:lang w:val="ka-GE"/>
        </w:rPr>
        <w:t>.</w:t>
      </w:r>
      <w:r w:rsidR="004B5917">
        <w:rPr>
          <w:lang w:val="ka-GE"/>
        </w:rPr>
        <w:t>7</w:t>
      </w:r>
      <w:r w:rsidRPr="00FC466B">
        <w:rPr>
          <w:lang w:val="ka-GE"/>
        </w:rPr>
        <w:t xml:space="preserve">% შეადგენს. </w:t>
      </w:r>
    </w:p>
    <w:p w:rsidR="00181DD4" w:rsidRDefault="00181DD4" w:rsidP="00254BEE">
      <w:pPr>
        <w:jc w:val="both"/>
        <w:rPr>
          <w:lang w:val="ka-GE"/>
        </w:rPr>
      </w:pPr>
    </w:p>
    <w:p w:rsidR="00FF5F3B" w:rsidRPr="00181DD4" w:rsidRDefault="00FF5F3B" w:rsidP="00254BEE">
      <w:pPr>
        <w:pStyle w:val="Heading1"/>
        <w:spacing w:line="240" w:lineRule="auto"/>
      </w:pPr>
      <w:bookmarkStart w:id="27" w:name="_Toc511217328"/>
      <w:r w:rsidRPr="00181DD4">
        <w:t>საერთაშორისო სავალუტო ფონდთან თანამშრომლობა</w:t>
      </w:r>
      <w:bookmarkEnd w:id="27"/>
    </w:p>
    <w:p w:rsidR="00181DD4" w:rsidRDefault="00181DD4" w:rsidP="00254BEE">
      <w:pPr>
        <w:jc w:val="both"/>
        <w:rPr>
          <w:lang w:val="ka-GE"/>
        </w:rPr>
      </w:pPr>
    </w:p>
    <w:p w:rsidR="00F312C6" w:rsidRDefault="00F312C6" w:rsidP="00254BEE">
      <w:pPr>
        <w:jc w:val="both"/>
        <w:rPr>
          <w:lang w:val="ka-GE"/>
        </w:rPr>
      </w:pPr>
      <w:r w:rsidRPr="00B621EB">
        <w:rPr>
          <w:lang w:val="ka-GE"/>
        </w:rPr>
        <w:t>2017 წლის 12 აპრილს, საერთაშორისო სავალუტო ფონდის აღმასრულებელმა საბჭომ „გაფართოებული დაფინანსების მექანიზმის“ ფარგლებში საქართველოს დაუმტკიცა პროგრამა</w:t>
      </w:r>
      <w:r>
        <w:rPr>
          <w:lang w:val="ka-GE"/>
        </w:rPr>
        <w:t xml:space="preserve"> 297.5</w:t>
      </w:r>
      <w:r w:rsidRPr="00B621EB">
        <w:rPr>
          <w:lang w:val="ka-GE"/>
        </w:rPr>
        <w:t xml:space="preserve"> მილიონი აშშ დოლარის ოდენობით. </w:t>
      </w:r>
      <w:r>
        <w:rPr>
          <w:lang w:val="ka-GE"/>
        </w:rPr>
        <w:t xml:space="preserve"> </w:t>
      </w:r>
    </w:p>
    <w:p w:rsidR="00F312C6" w:rsidRDefault="00F312C6" w:rsidP="00254BEE">
      <w:pPr>
        <w:jc w:val="both"/>
        <w:rPr>
          <w:lang w:val="ka-GE"/>
        </w:rPr>
      </w:pPr>
      <w:r w:rsidRPr="00B621EB">
        <w:rPr>
          <w:lang w:val="ka-GE"/>
        </w:rPr>
        <w:t xml:space="preserve">მნიშვნელოვანია, რომ  პროგრამა </w:t>
      </w:r>
      <w:r>
        <w:rPr>
          <w:lang w:val="ka-GE"/>
        </w:rPr>
        <w:t xml:space="preserve">სრულად არის </w:t>
      </w:r>
      <w:r w:rsidRPr="00B621EB">
        <w:rPr>
          <w:lang w:val="ka-GE"/>
        </w:rPr>
        <w:t xml:space="preserve">დაფუძნებული მთავრობის 4-პუნქტიან რეფორმების გეგმაზე. პროგრამის ფარგლებში, საერთაშორისო სავალუტო ფონდი იქნება ჩვენი ქვეყნის პარტნიორი მთავრობის ეკონომიკური პოლიტიკის განხორციელების პროცესში. </w:t>
      </w:r>
      <w:r>
        <w:rPr>
          <w:lang w:val="ka-GE"/>
        </w:rPr>
        <w:t xml:space="preserve">სავალუტო ფონდი სრულად იზიარებს </w:t>
      </w:r>
      <w:r w:rsidRPr="00B621EB">
        <w:rPr>
          <w:lang w:val="ka-GE"/>
        </w:rPr>
        <w:t>ეკონომიკურ და სტრუქტურულ რეფორმებ</w:t>
      </w:r>
      <w:r>
        <w:rPr>
          <w:lang w:val="ka-GE"/>
        </w:rPr>
        <w:t>ს</w:t>
      </w:r>
      <w:r w:rsidRPr="00B621EB">
        <w:rPr>
          <w:lang w:val="ka-GE"/>
        </w:rPr>
        <w:t>, რ</w:t>
      </w:r>
      <w:r>
        <w:rPr>
          <w:lang w:val="ka-GE"/>
        </w:rPr>
        <w:t>ომლებიც</w:t>
      </w:r>
      <w:r w:rsidRPr="00B621EB">
        <w:rPr>
          <w:lang w:val="ka-GE"/>
        </w:rPr>
        <w:t xml:space="preserve"> მიზნად ისახავს მაკროეკონომიკური სტაბილურობის </w:t>
      </w:r>
      <w:r>
        <w:rPr>
          <w:lang w:val="ka-GE"/>
        </w:rPr>
        <w:t xml:space="preserve">შენარჩუნებასა </w:t>
      </w:r>
      <w:r w:rsidRPr="00B621EB">
        <w:rPr>
          <w:lang w:val="ka-GE"/>
        </w:rPr>
        <w:t xml:space="preserve">და ეკონომიკურ </w:t>
      </w:r>
      <w:r>
        <w:rPr>
          <w:lang w:val="ka-GE"/>
        </w:rPr>
        <w:t>ზრდი</w:t>
      </w:r>
      <w:r w:rsidRPr="00B621EB">
        <w:rPr>
          <w:lang w:val="ka-GE"/>
        </w:rPr>
        <w:t>ს</w:t>
      </w:r>
      <w:r>
        <w:rPr>
          <w:lang w:val="ka-GE"/>
        </w:rPr>
        <w:t xml:space="preserve"> ხელშეწყობას</w:t>
      </w:r>
      <w:r w:rsidRPr="00B621EB">
        <w:rPr>
          <w:lang w:val="ka-GE"/>
        </w:rPr>
        <w:t>.</w:t>
      </w:r>
    </w:p>
    <w:p w:rsidR="00F312C6" w:rsidRDefault="00F312C6" w:rsidP="00254BEE">
      <w:pPr>
        <w:jc w:val="both"/>
        <w:rPr>
          <w:lang w:val="ka-GE"/>
        </w:rPr>
      </w:pPr>
      <w:r w:rsidRPr="00B621EB">
        <w:rPr>
          <w:lang w:val="ka-GE"/>
        </w:rPr>
        <w:t>საერთაშორისო სავალუტო</w:t>
      </w:r>
      <w:r>
        <w:rPr>
          <w:lang w:val="ka-GE"/>
        </w:rPr>
        <w:t xml:space="preserve"> ფონდი</w:t>
      </w:r>
      <w:r w:rsidRPr="00B621EB">
        <w:rPr>
          <w:lang w:val="ka-GE"/>
        </w:rPr>
        <w:t xml:space="preserve"> მიესალმება საქართველოს მთავრობის ეკონომიკურ პოლიტიკას,</w:t>
      </w:r>
      <w:r>
        <w:rPr>
          <w:lang w:val="ka-GE"/>
        </w:rPr>
        <w:t xml:space="preserve"> რაც  კიდევ ერთხელ  დაადასტურდა</w:t>
      </w:r>
      <w:r w:rsidR="00634906">
        <w:rPr>
          <w:lang w:val="ka-GE"/>
        </w:rPr>
        <w:t xml:space="preserve"> 2017 წლის</w:t>
      </w:r>
      <w:r>
        <w:rPr>
          <w:lang w:val="ka-GE"/>
        </w:rPr>
        <w:t xml:space="preserve"> დეკემბერ</w:t>
      </w:r>
      <w:r w:rsidR="00634906">
        <w:rPr>
          <w:lang w:val="ka-GE"/>
        </w:rPr>
        <w:t>ის</w:t>
      </w:r>
      <w:r>
        <w:rPr>
          <w:lang w:val="ka-GE"/>
        </w:rPr>
        <w:t xml:space="preserve"> მისიის შეფასებამ.</w:t>
      </w:r>
      <w:r w:rsidRPr="009F0129">
        <w:rPr>
          <w:lang w:val="ka-GE"/>
        </w:rPr>
        <w:t xml:space="preserve"> 2017 </w:t>
      </w:r>
      <w:r>
        <w:rPr>
          <w:lang w:val="ka-GE"/>
        </w:rPr>
        <w:t xml:space="preserve">წლის </w:t>
      </w:r>
      <w:r w:rsidRPr="009F0129">
        <w:rPr>
          <w:lang w:val="ka-GE"/>
        </w:rPr>
        <w:t xml:space="preserve">6 დეკემბერს, </w:t>
      </w:r>
      <w:proofErr w:type="spellStart"/>
      <w:r w:rsidRPr="009F0129">
        <w:rPr>
          <w:lang w:val="ka-GE"/>
        </w:rPr>
        <w:t>სსფ</w:t>
      </w:r>
      <w:proofErr w:type="spellEnd"/>
      <w:r w:rsidRPr="009F0129">
        <w:rPr>
          <w:lang w:val="ka-GE"/>
        </w:rPr>
        <w:t>-ს აღმასრულებელ დირექტორთა საბჭომ მხარი</w:t>
      </w:r>
      <w:r>
        <w:rPr>
          <w:lang w:val="ka-GE"/>
        </w:rPr>
        <w:t xml:space="preserve"> </w:t>
      </w:r>
      <w:r w:rsidRPr="009F0129">
        <w:rPr>
          <w:lang w:val="ka-GE"/>
        </w:rPr>
        <w:t>დაუჭირა საქართველოს სამწლიანი პროგრამის პირველი მიმოხილვის</w:t>
      </w:r>
      <w:r>
        <w:rPr>
          <w:lang w:val="ka-GE"/>
        </w:rPr>
        <w:t xml:space="preserve"> </w:t>
      </w:r>
      <w:r w:rsidRPr="009F0129">
        <w:rPr>
          <w:lang w:val="ka-GE"/>
        </w:rPr>
        <w:t>დასრულებას</w:t>
      </w:r>
      <w:r>
        <w:rPr>
          <w:lang w:val="ka-GE"/>
        </w:rPr>
        <w:t xml:space="preserve">. </w:t>
      </w:r>
      <w:r w:rsidR="00634906">
        <w:rPr>
          <w:lang w:val="ka-GE"/>
        </w:rPr>
        <w:t xml:space="preserve">მნიშვნელოვანია, რომ </w:t>
      </w:r>
      <w:r w:rsidRPr="00342170">
        <w:rPr>
          <w:lang w:val="ka-GE"/>
        </w:rPr>
        <w:t>საქართველოს პროგრამა გეგმის მიხედვით მიმდინარ</w:t>
      </w:r>
      <w:r>
        <w:rPr>
          <w:lang w:val="ka-GE"/>
        </w:rPr>
        <w:t>ე</w:t>
      </w:r>
      <w:r w:rsidRPr="00342170">
        <w:rPr>
          <w:lang w:val="ka-GE"/>
        </w:rPr>
        <w:t>ობს</w:t>
      </w:r>
      <w:r>
        <w:rPr>
          <w:lang w:val="ka-GE"/>
        </w:rPr>
        <w:t xml:space="preserve"> და </w:t>
      </w:r>
      <w:r w:rsidRPr="00342170">
        <w:rPr>
          <w:lang w:val="ka-GE"/>
        </w:rPr>
        <w:t>შესრულებულია</w:t>
      </w:r>
      <w:r>
        <w:rPr>
          <w:lang w:val="ka-GE"/>
        </w:rPr>
        <w:t xml:space="preserve"> </w:t>
      </w:r>
      <w:r w:rsidRPr="00342170">
        <w:rPr>
          <w:lang w:val="ka-GE"/>
        </w:rPr>
        <w:t>პროგრამით განსაზღვრული ყველა კრიტერიუმი.</w:t>
      </w:r>
    </w:p>
    <w:p w:rsidR="00F312C6" w:rsidRPr="00D23176" w:rsidRDefault="00F312C6" w:rsidP="00254BEE">
      <w:pPr>
        <w:jc w:val="both"/>
        <w:rPr>
          <w:lang w:val="ka-GE"/>
        </w:rPr>
      </w:pPr>
      <w:r>
        <w:rPr>
          <w:lang w:val="ka-GE"/>
        </w:rPr>
        <w:t>წარმატებით დასრულდა ასევე ფონდის მისიის სამუშაო ვიზიტი 2018 წლის თებერვალში. მისია გაეცნო მიმდინარე ეკონომიკურ ტენდენციებს და ფონდის პროგრამის ფარგლებში განსახორციელებელი რეფორმების მიმდინარეობას. ვიზიტის დასასრულს ფონდის ხელმძღვანელის მიერ აღნიშნულ იქნა, რომ ეკონომიკური ზრდა მოსალოდნელზე მაღალი იყო 2017 წელს.</w:t>
      </w:r>
    </w:p>
    <w:p w:rsidR="00844372" w:rsidRDefault="00254BEE" w:rsidP="00254BEE">
      <w:pPr>
        <w:pStyle w:val="BodyText"/>
        <w:tabs>
          <w:tab w:val="decimal" w:pos="90"/>
          <w:tab w:val="decimal" w:pos="2430"/>
        </w:tabs>
        <w:jc w:val="both"/>
        <w:rPr>
          <w:lang w:val="ka-GE"/>
        </w:rPr>
      </w:pPr>
      <w:r>
        <w:rPr>
          <w:lang w:val="ka-GE"/>
        </w:rPr>
        <w:t xml:space="preserve">ამჟამად მიმდინარეობს (4-16 აპრილი) ფონდის მისიის ვიზიტი პროგრამის მეორე მიმოხილვის ფარგლებში. მისია, მთავრობის წევრებთან ერთად დეტალურად განიხილავს ეკონომიკურ ვითარებას, ფისკალური და მონეტარულ პოლიტიკის მაჩვენებლებს, პროგრამის მიმდინარეობას და </w:t>
      </w:r>
      <w:proofErr w:type="spellStart"/>
      <w:r>
        <w:rPr>
          <w:lang w:val="ka-GE"/>
        </w:rPr>
        <w:t>ბენჩმარკების</w:t>
      </w:r>
      <w:proofErr w:type="spellEnd"/>
      <w:r>
        <w:rPr>
          <w:lang w:val="ka-GE"/>
        </w:rPr>
        <w:t xml:space="preserve"> შესრულების საკითხებს. შეხვედრების დროს აღინიშნა, რომ პროგრამა წარმატებით მიმდინარეობს, ყველა არსებული კრიტერიუმი დაკმაყოფილებულია. ეკონომიკური ტენდენციები ერთმნიშვნელოვნად მიუთითებს პროგნოზების გადახედვის საჭიროებას. მისიის დასრულების შემდეგ </w:t>
      </w:r>
      <w:r w:rsidR="00B47A54">
        <w:rPr>
          <w:lang w:val="ka-GE"/>
        </w:rPr>
        <w:t xml:space="preserve">ფონდი წარმოადგენს ახალ </w:t>
      </w:r>
      <w:proofErr w:type="spellStart"/>
      <w:r w:rsidR="00B47A54">
        <w:rPr>
          <w:lang w:val="ka-GE"/>
        </w:rPr>
        <w:t>მაკროჩარჩოს</w:t>
      </w:r>
      <w:proofErr w:type="spellEnd"/>
      <w:r w:rsidR="00B47A54">
        <w:rPr>
          <w:lang w:val="ka-GE"/>
        </w:rPr>
        <w:t xml:space="preserve"> განახლებული პროგნოზებით. პარალელურად </w:t>
      </w:r>
      <w:r>
        <w:rPr>
          <w:lang w:val="ka-GE"/>
        </w:rPr>
        <w:t xml:space="preserve">მიმდინარეობს მუშაობა ახალ </w:t>
      </w:r>
      <w:proofErr w:type="spellStart"/>
      <w:r>
        <w:rPr>
          <w:lang w:val="ka-GE"/>
        </w:rPr>
        <w:t>ბენჩმარკებზე</w:t>
      </w:r>
      <w:proofErr w:type="spellEnd"/>
      <w:r>
        <w:rPr>
          <w:lang w:val="ka-GE"/>
        </w:rPr>
        <w:t xml:space="preserve"> პროგრამის შემდგომი მიმოხილვებისთვის. </w:t>
      </w:r>
    </w:p>
    <w:p w:rsidR="002C3155" w:rsidRDefault="002C3155" w:rsidP="00254BEE">
      <w:pPr>
        <w:pStyle w:val="BodyText"/>
        <w:tabs>
          <w:tab w:val="decimal" w:pos="90"/>
          <w:tab w:val="decimal" w:pos="2430"/>
        </w:tabs>
        <w:jc w:val="both"/>
        <w:rPr>
          <w:lang w:val="ka-GE"/>
        </w:rPr>
      </w:pPr>
    </w:p>
    <w:p w:rsidR="00844372" w:rsidRDefault="00844372" w:rsidP="00254BEE">
      <w:pPr>
        <w:pStyle w:val="Heading1"/>
        <w:spacing w:line="240" w:lineRule="auto"/>
      </w:pPr>
      <w:bookmarkStart w:id="28" w:name="_Toc511217329"/>
      <w:r>
        <w:t>საქართველო საერთაშორისო რეიტინგებში</w:t>
      </w:r>
      <w:bookmarkEnd w:id="28"/>
      <w:r>
        <w:t xml:space="preserve"> </w:t>
      </w:r>
    </w:p>
    <w:p w:rsidR="002C3155" w:rsidRDefault="002C3155" w:rsidP="00254BEE">
      <w:pPr>
        <w:jc w:val="both"/>
        <w:rPr>
          <w:lang w:val="ka-GE"/>
        </w:rPr>
      </w:pPr>
    </w:p>
    <w:p w:rsidR="00844372" w:rsidRPr="00634906" w:rsidRDefault="00844372" w:rsidP="00254BEE">
      <w:pPr>
        <w:jc w:val="both"/>
        <w:rPr>
          <w:lang w:val="ka-GE"/>
        </w:rPr>
      </w:pPr>
      <w:r>
        <w:rPr>
          <w:lang w:val="ka-GE"/>
        </w:rPr>
        <w:t>ბიზნესის კეთების სიმარტივის და საინვესტიციო მიმზიდველობის თვალსაზრისით საქართველო ერთ-ერთი ლიდერი ქვეყანაა როგორც რეგიონში, ასევე მსოფლიო მასშტაბით.   მსოფლიო ბანკის „</w:t>
      </w:r>
      <w:proofErr w:type="spellStart"/>
      <w:r>
        <w:rPr>
          <w:lang w:val="ka-GE"/>
        </w:rPr>
        <w:t>Doing</w:t>
      </w:r>
      <w:proofErr w:type="spellEnd"/>
      <w:r>
        <w:rPr>
          <w:lang w:val="ka-GE"/>
        </w:rPr>
        <w:t xml:space="preserve"> </w:t>
      </w:r>
      <w:proofErr w:type="spellStart"/>
      <w:r>
        <w:rPr>
          <w:lang w:val="ka-GE"/>
        </w:rPr>
        <w:t>Business</w:t>
      </w:r>
      <w:proofErr w:type="spellEnd"/>
      <w:r>
        <w:rPr>
          <w:lang w:val="ka-GE"/>
        </w:rPr>
        <w:t xml:space="preserve"> 2018“ წლის ანგარიშის მიხედვით, საქართველოს რეიტინგი 2017 წელთან შედარებით 7 ადგილით გაუმჯობესდა და საქართველომ 190 ქვეყანას შორის მე-16 ადგილიდან მე-9 ადგილზე გადაინაცვლა. აღსანიშნავია, რომ რეიტინგის მიხედვით 2018 წელს საქართველო ევროპის და ცენტრალური აზიის რეგიონში (24 ქვეყანას შორის) ლიდერ პოზიციაზე იმყოფება და პირველ ადგილზე გადმოინაცვლა 2017 წელს მყოფ მე-3 ადგილიდან. საქართველო 4 ინდიკატორის მიხედვით მსოფლიო მასშტაბით 190 ქვეყანას შორის პირველ ათეულში შედის. ეს ინდიკატორებია: მინორიტარულ ინვესტორთა უფლებების დაცვა (მე-2 ადგილი), ბიზნესის დაწყება (მე-4 ადგილი), ქონების რეგისტრაცია (მე-4 ადგილი) და კონტრაქტების აღსრულება  (მე-7 ადგილი).</w:t>
      </w:r>
    </w:p>
    <w:p w:rsidR="00844372" w:rsidRDefault="00844372" w:rsidP="00254BEE">
      <w:pPr>
        <w:jc w:val="both"/>
        <w:rPr>
          <w:lang w:val="ka-GE"/>
        </w:rPr>
      </w:pPr>
    </w:p>
    <w:p w:rsidR="00844372" w:rsidRDefault="00844372" w:rsidP="00254BEE">
      <w:pPr>
        <w:jc w:val="both"/>
        <w:rPr>
          <w:lang w:val="ka-GE"/>
        </w:rPr>
      </w:pPr>
      <w:r>
        <w:rPr>
          <w:lang w:val="ka-GE"/>
        </w:rPr>
        <w:t xml:space="preserve">ქვეყანაში მაღალია ეკონომიკური გახსნილობის დონე და უზრუნველყოფილია კაპიტალის, საქონლისა თუ მომსახურების თავისუფალი მოძრაობა.  </w:t>
      </w:r>
      <w:proofErr w:type="spellStart"/>
      <w:r>
        <w:rPr>
          <w:lang w:val="ka-GE"/>
        </w:rPr>
        <w:t>Heritage</w:t>
      </w:r>
      <w:proofErr w:type="spellEnd"/>
      <w:r>
        <w:rPr>
          <w:lang w:val="ka-GE"/>
        </w:rPr>
        <w:t xml:space="preserve"> </w:t>
      </w:r>
      <w:proofErr w:type="spellStart"/>
      <w:r>
        <w:rPr>
          <w:lang w:val="ka-GE"/>
        </w:rPr>
        <w:t>Foundation</w:t>
      </w:r>
      <w:proofErr w:type="spellEnd"/>
      <w:r>
        <w:rPr>
          <w:lang w:val="ka-GE"/>
        </w:rPr>
        <w:t>-ის  „ეკონომიკური თავისუფლების ინდექსის“ მიხედვით საქართველო მე-1</w:t>
      </w:r>
      <w:r w:rsidR="00634906">
        <w:rPr>
          <w:lang w:val="ka-GE"/>
        </w:rPr>
        <w:t>6</w:t>
      </w:r>
      <w:r>
        <w:rPr>
          <w:lang w:val="ka-GE"/>
        </w:rPr>
        <w:t xml:space="preserve"> ადგილზეა მსოფლიოში და ხვდება უმეტესად თავისუფალი ეკონომიკის მქონე ქვეყნებს შორის.</w:t>
      </w:r>
    </w:p>
    <w:p w:rsidR="00844372" w:rsidRDefault="00844372" w:rsidP="00254BEE">
      <w:pPr>
        <w:jc w:val="both"/>
        <w:rPr>
          <w:lang w:val="ka-GE"/>
        </w:rPr>
      </w:pPr>
    </w:p>
    <w:p w:rsidR="000331BA" w:rsidRPr="00634906" w:rsidRDefault="000331BA" w:rsidP="00254BEE">
      <w:pPr>
        <w:jc w:val="both"/>
        <w:rPr>
          <w:lang w:val="ka-GE"/>
        </w:rPr>
      </w:pPr>
      <w:r>
        <w:rPr>
          <w:lang w:val="ka-GE"/>
        </w:rPr>
        <w:t>მსოფლიო ბანკის და</w:t>
      </w:r>
      <w:r w:rsidRPr="00634906">
        <w:rPr>
          <w:lang w:val="ka-GE"/>
        </w:rPr>
        <w:t xml:space="preserve"> PWC  </w:t>
      </w:r>
      <w:r>
        <w:rPr>
          <w:lang w:val="ka-GE"/>
        </w:rPr>
        <w:t>ანგარიშის თანახმად, ქვეყანაში ერთ-ერთი ყველაზე დაბალია საგადასახადო ტვირთი.  გადასახადის ეფექტური განაკვეთი 16.4%-ს შეადგენს, რაც ერთ-ერთი ყველაზე დაბალი მაჩვენებელია მსოფლიოში.  დაბალი საგადასახადო ტვირთი სხვა ფაქტორებთან ერთად კიდევ უფრო მიმზიდველს ხდის ბიზნესის კეთებას საქართველოში  და ზრდის ქვეყნის საინვესტიციო მიმზიდველობას.  ამასთანავე, მოგების გადასახადის ახალი რეფორმა, რომელიც 2017 წლის იანვრიდან შევიდა ძალაში, კიდევ უფრო ამცირებს საგადასახადო ტვირთს ბიზნესისთვის.  </w:t>
      </w:r>
    </w:p>
    <w:p w:rsidR="00844372" w:rsidRDefault="00844372" w:rsidP="00254BEE">
      <w:pPr>
        <w:jc w:val="both"/>
        <w:rPr>
          <w:lang w:val="ka-GE"/>
        </w:rPr>
      </w:pPr>
    </w:p>
    <w:p w:rsidR="00844372" w:rsidRPr="00634906" w:rsidRDefault="00844372" w:rsidP="00254BEE">
      <w:pPr>
        <w:jc w:val="both"/>
        <w:rPr>
          <w:lang w:val="ka-GE"/>
        </w:rPr>
      </w:pPr>
      <w:r w:rsidRPr="00634906">
        <w:rPr>
          <w:lang w:val="ka-GE"/>
        </w:rPr>
        <w:t>ბიუჯეტის საერთაშორისო პარტნიორობის (</w:t>
      </w:r>
      <w:proofErr w:type="spellStart"/>
      <w:r w:rsidRPr="00634906">
        <w:rPr>
          <w:lang w:val="ka-GE"/>
        </w:rPr>
        <w:t>The</w:t>
      </w:r>
      <w:proofErr w:type="spellEnd"/>
      <w:r w:rsidRPr="00634906">
        <w:rPr>
          <w:lang w:val="ka-GE"/>
        </w:rPr>
        <w:t xml:space="preserve"> </w:t>
      </w:r>
      <w:proofErr w:type="spellStart"/>
      <w:r w:rsidRPr="00634906">
        <w:rPr>
          <w:lang w:val="ka-GE"/>
        </w:rPr>
        <w:t>International</w:t>
      </w:r>
      <w:proofErr w:type="spellEnd"/>
      <w:r w:rsidRPr="00634906">
        <w:rPr>
          <w:lang w:val="ka-GE"/>
        </w:rPr>
        <w:t xml:space="preserve"> </w:t>
      </w:r>
      <w:proofErr w:type="spellStart"/>
      <w:r w:rsidRPr="00634906">
        <w:rPr>
          <w:lang w:val="ka-GE"/>
        </w:rPr>
        <w:t>Budget</w:t>
      </w:r>
      <w:proofErr w:type="spellEnd"/>
      <w:r w:rsidRPr="00634906">
        <w:rPr>
          <w:lang w:val="ka-GE"/>
        </w:rPr>
        <w:t xml:space="preserve"> </w:t>
      </w:r>
      <w:proofErr w:type="spellStart"/>
      <w:r w:rsidRPr="00634906">
        <w:rPr>
          <w:lang w:val="ka-GE"/>
        </w:rPr>
        <w:t>Partnership</w:t>
      </w:r>
      <w:proofErr w:type="spellEnd"/>
      <w:r w:rsidRPr="00634906">
        <w:rPr>
          <w:lang w:val="ka-GE"/>
        </w:rPr>
        <w:t>) მიერ გამოქვეყნებულ “ბიუჯეტის გამჭვირვალობის კვლევა 2017-ის“ (</w:t>
      </w:r>
      <w:proofErr w:type="spellStart"/>
      <w:r w:rsidRPr="00634906">
        <w:rPr>
          <w:lang w:val="ka-GE"/>
        </w:rPr>
        <w:t>Open</w:t>
      </w:r>
      <w:proofErr w:type="spellEnd"/>
      <w:r w:rsidRPr="00634906">
        <w:rPr>
          <w:lang w:val="ka-GE"/>
        </w:rPr>
        <w:t xml:space="preserve"> </w:t>
      </w:r>
      <w:proofErr w:type="spellStart"/>
      <w:r w:rsidRPr="00634906">
        <w:rPr>
          <w:lang w:val="ka-GE"/>
        </w:rPr>
        <w:t>Budget</w:t>
      </w:r>
      <w:proofErr w:type="spellEnd"/>
      <w:r w:rsidRPr="00634906">
        <w:rPr>
          <w:lang w:val="ka-GE"/>
        </w:rPr>
        <w:t xml:space="preserve"> </w:t>
      </w:r>
      <w:proofErr w:type="spellStart"/>
      <w:r w:rsidRPr="00634906">
        <w:rPr>
          <w:lang w:val="ka-GE"/>
        </w:rPr>
        <w:t>Survey</w:t>
      </w:r>
      <w:proofErr w:type="spellEnd"/>
      <w:r w:rsidRPr="00634906">
        <w:rPr>
          <w:lang w:val="ka-GE"/>
        </w:rPr>
        <w:t xml:space="preserve"> 2017) შედეგების თანახმად, საქართველომ 82 ქულით მე-5 ადგილი დაიკავა მსოფლიოს 115 ქვეყანას შორის. აღნიშნული პოზიციით, საქართველო მოექცა სრულიად გამჭვირვალე ქვეყნების რიგში. საქართველო რეგიონიდან ერთადერთი ქვეყანაა, რომელიც ამ კატეგორიაში გადავიდა და რომლის სტანდარტსაც ბოლო კვლევით მხოლოდ 5 ქვეყანა აკმაყოფილებს მსოფლიოში. შესაბამისად, საქართველო იკავებს ადგილს ისეთ ქვეყნებთან ერთად როგორიცაა: ახალი ზელანდია, სამხრეთ აფრიკა, შვედეთი და ნორვეგია. </w:t>
      </w:r>
    </w:p>
    <w:p w:rsidR="00844372" w:rsidRPr="00634906" w:rsidRDefault="00844372" w:rsidP="00254BEE">
      <w:pPr>
        <w:jc w:val="both"/>
        <w:rPr>
          <w:lang w:val="ka-GE"/>
        </w:rPr>
      </w:pPr>
      <w:r w:rsidRPr="00634906">
        <w:rPr>
          <w:lang w:val="ka-GE"/>
        </w:rPr>
        <w:t xml:space="preserve">აღნიშნული საჯარო ფინანსების მართვის რეფორმის ფარგლებში გატარებული ღონისძიებების შედეგია, მათ შორის, პროგრამული ბიუჯეტის დანერგვა, </w:t>
      </w:r>
      <w:proofErr w:type="spellStart"/>
      <w:r w:rsidRPr="00634906">
        <w:rPr>
          <w:lang w:val="ka-GE"/>
        </w:rPr>
        <w:t>საშუალოვადიანი</w:t>
      </w:r>
      <w:proofErr w:type="spellEnd"/>
      <w:r w:rsidRPr="00634906">
        <w:rPr>
          <w:lang w:val="ka-GE"/>
        </w:rPr>
        <w:t xml:space="preserve"> დაგეგმვის გაძლიერება, ანგარიშგების </w:t>
      </w:r>
      <w:proofErr w:type="spellStart"/>
      <w:r w:rsidRPr="00634906">
        <w:rPr>
          <w:lang w:val="ka-GE"/>
        </w:rPr>
        <w:t>ყოვლისმომცველობის</w:t>
      </w:r>
      <w:proofErr w:type="spellEnd"/>
      <w:r w:rsidRPr="00634906">
        <w:rPr>
          <w:lang w:val="ka-GE"/>
        </w:rPr>
        <w:t xml:space="preserve"> გაზრდა და სხვა. </w:t>
      </w:r>
    </w:p>
    <w:p w:rsidR="00933471" w:rsidRDefault="00933471" w:rsidP="00254BEE">
      <w:pPr>
        <w:pStyle w:val="BodyText"/>
        <w:tabs>
          <w:tab w:val="decimal" w:pos="90"/>
          <w:tab w:val="decimal" w:pos="2430"/>
        </w:tabs>
        <w:spacing w:before="48"/>
        <w:jc w:val="both"/>
      </w:pPr>
    </w:p>
    <w:p w:rsidR="004A2FC2" w:rsidRDefault="004A2FC2" w:rsidP="00254BEE">
      <w:pPr>
        <w:pStyle w:val="Heading1"/>
        <w:spacing w:line="240" w:lineRule="auto"/>
      </w:pPr>
      <w:bookmarkStart w:id="29" w:name="_Toc511217330"/>
      <w:r>
        <w:t>საერთაშორისო ღონისძიებები საქართველოში</w:t>
      </w:r>
      <w:bookmarkEnd w:id="29"/>
    </w:p>
    <w:p w:rsidR="002C3155" w:rsidRDefault="002C3155" w:rsidP="00254BEE">
      <w:pPr>
        <w:pStyle w:val="NoSpacing"/>
        <w:jc w:val="both"/>
        <w:rPr>
          <w:rFonts w:ascii="Sylfaen" w:hAnsi="Sylfaen"/>
          <w:szCs w:val="20"/>
          <w:lang w:val="ka-GE"/>
        </w:rPr>
      </w:pPr>
    </w:p>
    <w:p w:rsidR="00B331A8" w:rsidRPr="00F7428D" w:rsidRDefault="004A2FC2" w:rsidP="00254BEE">
      <w:pPr>
        <w:pStyle w:val="NoSpacing"/>
        <w:jc w:val="both"/>
        <w:rPr>
          <w:lang w:val="ka-GE" w:eastAsia="en-GB"/>
        </w:rPr>
      </w:pPr>
      <w:r>
        <w:rPr>
          <w:rFonts w:ascii="Sylfaen" w:hAnsi="Sylfaen"/>
          <w:szCs w:val="20"/>
          <w:lang w:val="ka-GE"/>
        </w:rPr>
        <w:t>2017 წლის 28-29 ნოემბერს თბილისში „აბრეშუმის გზის რიგით მეორე ფორუმი“ გ</w:t>
      </w:r>
      <w:r w:rsidR="005B601B">
        <w:rPr>
          <w:rFonts w:ascii="Sylfaen" w:hAnsi="Sylfaen"/>
          <w:szCs w:val="20"/>
          <w:lang w:val="ka-GE"/>
        </w:rPr>
        <w:t>აიმართა. ღონისძიება, რომელშიც 54</w:t>
      </w:r>
      <w:r>
        <w:rPr>
          <w:rFonts w:ascii="Sylfaen" w:hAnsi="Sylfaen"/>
          <w:szCs w:val="20"/>
          <w:lang w:val="ka-GE"/>
        </w:rPr>
        <w:t xml:space="preserve"> ქვეყნიდან მსოფლიოს </w:t>
      </w:r>
      <w:r w:rsidR="005B601B">
        <w:rPr>
          <w:rFonts w:ascii="Sylfaen" w:hAnsi="Sylfaen"/>
          <w:szCs w:val="20"/>
          <w:lang w:val="ka-GE"/>
        </w:rPr>
        <w:t>2000-მა</w:t>
      </w:r>
      <w:r>
        <w:rPr>
          <w:rFonts w:ascii="Sylfaen" w:hAnsi="Sylfaen"/>
          <w:szCs w:val="20"/>
          <w:lang w:val="ka-GE"/>
        </w:rPr>
        <w:t xml:space="preserve"> დელეგატმა მიიღო მონაწილეობა, მნიშვნელოვნად შეუწყობს</w:t>
      </w:r>
      <w:r w:rsidR="00634906">
        <w:rPr>
          <w:rFonts w:ascii="Sylfaen" w:hAnsi="Sylfaen"/>
          <w:szCs w:val="20"/>
          <w:lang w:val="ka-GE"/>
        </w:rPr>
        <w:t xml:space="preserve"> ხელს</w:t>
      </w:r>
      <w:r>
        <w:rPr>
          <w:rFonts w:ascii="Sylfaen" w:hAnsi="Sylfaen"/>
          <w:szCs w:val="20"/>
          <w:lang w:val="ka-GE"/>
        </w:rPr>
        <w:t xml:space="preserve"> ეკონომიკური, კულტურული და პოლიტიკური ურთიერთობის გაღრმავებას ევროპასა და აზიას შორის. მგავსი მაღალი რანგის  ღონისძიებების საქართველოში გამართვა კიდევ ერთხელ მიანიშნებს ჩვენი ქვეყნის მნიშვნელოვან როლზე მსოფლიოს ეკონომიკურ და პოლიტიკურ ცხოვრებაში და მის წარმატებულ ინტეგრაციაზე საერთაშორისო ეკონომიკურ ურთიერთობებში. </w:t>
      </w:r>
      <w:r w:rsidR="00B331A8" w:rsidRPr="00F7428D">
        <w:rPr>
          <w:rFonts w:ascii="Sylfaen" w:hAnsi="Sylfaen" w:cs="Sylfaen"/>
          <w:lang w:val="ka-GE" w:eastAsia="en-GB"/>
        </w:rPr>
        <w:t>თბილისის</w:t>
      </w:r>
      <w:r w:rsidR="00B331A8" w:rsidRPr="00F7428D">
        <w:rPr>
          <w:lang w:val="ka-GE" w:eastAsia="en-GB"/>
        </w:rPr>
        <w:t xml:space="preserve"> </w:t>
      </w:r>
      <w:r w:rsidR="00B331A8" w:rsidRPr="00F7428D">
        <w:rPr>
          <w:rFonts w:ascii="Sylfaen" w:hAnsi="Sylfaen" w:cs="Sylfaen"/>
          <w:lang w:val="ka-GE" w:eastAsia="en-GB"/>
        </w:rPr>
        <w:t>აბრეშუმის</w:t>
      </w:r>
      <w:r w:rsidR="00B331A8" w:rsidRPr="00F7428D">
        <w:rPr>
          <w:lang w:val="ka-GE" w:eastAsia="en-GB"/>
        </w:rPr>
        <w:t xml:space="preserve"> </w:t>
      </w:r>
      <w:r w:rsidR="00B331A8" w:rsidRPr="00F7428D">
        <w:rPr>
          <w:rFonts w:ascii="Sylfaen" w:hAnsi="Sylfaen" w:cs="Sylfaen"/>
          <w:lang w:val="ka-GE" w:eastAsia="en-GB"/>
        </w:rPr>
        <w:t>გზის</w:t>
      </w:r>
      <w:r w:rsidR="00B331A8" w:rsidRPr="00F7428D">
        <w:rPr>
          <w:lang w:val="ka-GE" w:eastAsia="en-GB"/>
        </w:rPr>
        <w:t xml:space="preserve"> </w:t>
      </w:r>
      <w:r w:rsidR="00B331A8" w:rsidRPr="00F7428D">
        <w:rPr>
          <w:rFonts w:ascii="Sylfaen" w:hAnsi="Sylfaen" w:cs="Sylfaen"/>
          <w:lang w:val="ka-GE" w:eastAsia="en-GB"/>
        </w:rPr>
        <w:t>ფორუმის</w:t>
      </w:r>
      <w:r w:rsidR="00B331A8" w:rsidRPr="00F7428D">
        <w:rPr>
          <w:lang w:val="ka-GE" w:eastAsia="en-GB"/>
        </w:rPr>
        <w:t xml:space="preserve"> </w:t>
      </w:r>
      <w:r w:rsidR="00B331A8">
        <w:rPr>
          <w:rFonts w:ascii="Sylfaen" w:hAnsi="Sylfaen" w:cs="Sylfaen"/>
          <w:lang w:val="ka-GE" w:eastAsia="en-GB"/>
        </w:rPr>
        <w:t>მთავარ მიზანს</w:t>
      </w:r>
      <w:r w:rsidR="00B331A8" w:rsidRPr="00F7428D">
        <w:rPr>
          <w:lang w:val="ka-GE" w:eastAsia="en-GB"/>
        </w:rPr>
        <w:t xml:space="preserve"> </w:t>
      </w:r>
      <w:r w:rsidR="00B331A8" w:rsidRPr="00F7428D">
        <w:rPr>
          <w:rFonts w:ascii="Sylfaen" w:hAnsi="Sylfaen" w:cs="Sylfaen"/>
          <w:lang w:val="ka-GE" w:eastAsia="en-GB"/>
        </w:rPr>
        <w:t>ქვეყნებს</w:t>
      </w:r>
      <w:r w:rsidR="00B331A8" w:rsidRPr="00F7428D">
        <w:rPr>
          <w:lang w:val="ka-GE" w:eastAsia="en-GB"/>
        </w:rPr>
        <w:t xml:space="preserve"> </w:t>
      </w:r>
      <w:r w:rsidR="00B331A8" w:rsidRPr="00F7428D">
        <w:rPr>
          <w:rFonts w:ascii="Sylfaen" w:hAnsi="Sylfaen" w:cs="Sylfaen"/>
          <w:lang w:val="ka-GE" w:eastAsia="en-GB"/>
        </w:rPr>
        <w:t>შორის</w:t>
      </w:r>
      <w:r w:rsidR="00B331A8" w:rsidRPr="00F7428D">
        <w:rPr>
          <w:lang w:val="ka-GE" w:eastAsia="en-GB"/>
        </w:rPr>
        <w:t xml:space="preserve"> </w:t>
      </w:r>
      <w:r w:rsidR="00B331A8" w:rsidRPr="00F7428D">
        <w:rPr>
          <w:rFonts w:ascii="Sylfaen" w:hAnsi="Sylfaen" w:cs="Sylfaen"/>
          <w:lang w:val="ka-GE" w:eastAsia="en-GB"/>
        </w:rPr>
        <w:t>სავაჭრო</w:t>
      </w:r>
      <w:r w:rsidR="00B331A8" w:rsidRPr="00F7428D">
        <w:rPr>
          <w:lang w:val="ka-GE" w:eastAsia="en-GB"/>
        </w:rPr>
        <w:t>-</w:t>
      </w:r>
      <w:r w:rsidR="00B331A8" w:rsidRPr="00F7428D">
        <w:rPr>
          <w:rFonts w:ascii="Sylfaen" w:hAnsi="Sylfaen" w:cs="Sylfaen"/>
          <w:lang w:val="ka-GE" w:eastAsia="en-GB"/>
        </w:rPr>
        <w:t>ეკონომიკური</w:t>
      </w:r>
      <w:r w:rsidR="00B331A8" w:rsidRPr="00F7428D">
        <w:rPr>
          <w:lang w:val="ka-GE" w:eastAsia="en-GB"/>
        </w:rPr>
        <w:t xml:space="preserve"> </w:t>
      </w:r>
      <w:r w:rsidR="00B331A8" w:rsidRPr="00F7428D">
        <w:rPr>
          <w:rFonts w:ascii="Sylfaen" w:hAnsi="Sylfaen" w:cs="Sylfaen"/>
          <w:lang w:val="ka-GE" w:eastAsia="en-GB"/>
        </w:rPr>
        <w:t>ურთიერთობების</w:t>
      </w:r>
      <w:r w:rsidR="00B331A8" w:rsidRPr="00F7428D">
        <w:rPr>
          <w:lang w:val="ka-GE" w:eastAsia="en-GB"/>
        </w:rPr>
        <w:t xml:space="preserve"> </w:t>
      </w:r>
      <w:r w:rsidR="00B331A8" w:rsidRPr="00F7428D">
        <w:rPr>
          <w:rFonts w:ascii="Sylfaen" w:hAnsi="Sylfaen" w:cs="Sylfaen"/>
          <w:lang w:val="ka-GE" w:eastAsia="en-GB"/>
        </w:rPr>
        <w:t>გაზრდა</w:t>
      </w:r>
      <w:r w:rsidR="00B331A8">
        <w:rPr>
          <w:rFonts w:ascii="Sylfaen" w:hAnsi="Sylfaen" w:cs="Sylfaen"/>
          <w:lang w:val="ka-GE" w:eastAsia="en-GB"/>
        </w:rPr>
        <w:t xml:space="preserve"> წარმოადგენს</w:t>
      </w:r>
      <w:r w:rsidR="00B331A8" w:rsidRPr="00F7428D">
        <w:rPr>
          <w:lang w:val="ka-GE" w:eastAsia="en-GB"/>
        </w:rPr>
        <w:t>.</w:t>
      </w:r>
      <w:r w:rsidR="00634906">
        <w:rPr>
          <w:rFonts w:ascii="Sylfaen" w:hAnsi="Sylfaen"/>
          <w:lang w:val="ka-GE" w:eastAsia="en-GB"/>
        </w:rPr>
        <w:t xml:space="preserve"> ამასთან,</w:t>
      </w:r>
      <w:r w:rsidR="00B331A8" w:rsidRPr="00F7428D">
        <w:rPr>
          <w:lang w:val="ka-GE" w:eastAsia="en-GB"/>
        </w:rPr>
        <w:t xml:space="preserve"> </w:t>
      </w:r>
      <w:r w:rsidR="00B331A8" w:rsidRPr="00F7428D">
        <w:rPr>
          <w:rFonts w:ascii="Sylfaen" w:hAnsi="Sylfaen" w:cs="Sylfaen"/>
          <w:lang w:val="ka-GE" w:eastAsia="en-GB"/>
        </w:rPr>
        <w:t>საქართველო</w:t>
      </w:r>
      <w:r w:rsidR="00B331A8" w:rsidRPr="00F7428D">
        <w:rPr>
          <w:lang w:val="ka-GE" w:eastAsia="en-GB"/>
        </w:rPr>
        <w:t xml:space="preserve"> </w:t>
      </w:r>
      <w:r w:rsidR="00B331A8" w:rsidRPr="00F7428D">
        <w:rPr>
          <w:rFonts w:ascii="Sylfaen" w:hAnsi="Sylfaen" w:cs="Sylfaen"/>
          <w:lang w:val="ka-GE" w:eastAsia="en-GB"/>
        </w:rPr>
        <w:t>კიდევ</w:t>
      </w:r>
      <w:r w:rsidR="00B331A8" w:rsidRPr="00F7428D">
        <w:rPr>
          <w:lang w:val="ka-GE" w:eastAsia="en-GB"/>
        </w:rPr>
        <w:t xml:space="preserve">  </w:t>
      </w:r>
      <w:r w:rsidR="00B331A8" w:rsidRPr="00F7428D">
        <w:rPr>
          <w:rFonts w:ascii="Sylfaen" w:hAnsi="Sylfaen" w:cs="Sylfaen"/>
          <w:lang w:val="ka-GE" w:eastAsia="en-GB"/>
        </w:rPr>
        <w:t>უფრო</w:t>
      </w:r>
      <w:r w:rsidR="00B331A8" w:rsidRPr="00F7428D">
        <w:rPr>
          <w:lang w:val="ka-GE" w:eastAsia="en-GB"/>
        </w:rPr>
        <w:t xml:space="preserve"> </w:t>
      </w:r>
      <w:r w:rsidR="00B331A8" w:rsidRPr="00F7428D">
        <w:rPr>
          <w:rFonts w:ascii="Sylfaen" w:hAnsi="Sylfaen" w:cs="Sylfaen"/>
          <w:lang w:val="ka-GE" w:eastAsia="en-GB"/>
        </w:rPr>
        <w:t>აქტიურ</w:t>
      </w:r>
      <w:r w:rsidR="00B331A8">
        <w:rPr>
          <w:rFonts w:ascii="Sylfaen" w:hAnsi="Sylfaen" w:cs="Sylfaen"/>
          <w:lang w:val="ka-GE" w:eastAsia="en-GB"/>
        </w:rPr>
        <w:t>ად</w:t>
      </w:r>
      <w:r w:rsidR="00B331A8" w:rsidRPr="00F7428D">
        <w:rPr>
          <w:lang w:val="ka-GE" w:eastAsia="en-GB"/>
        </w:rPr>
        <w:t xml:space="preserve"> </w:t>
      </w:r>
      <w:r w:rsidR="00B331A8" w:rsidRPr="00F7428D">
        <w:rPr>
          <w:rFonts w:ascii="Sylfaen" w:hAnsi="Sylfaen" w:cs="Sylfaen"/>
          <w:lang w:val="ka-GE" w:eastAsia="en-GB"/>
        </w:rPr>
        <w:t>ჩაერთო</w:t>
      </w:r>
      <w:r w:rsidR="00B331A8" w:rsidRPr="00F7428D">
        <w:rPr>
          <w:lang w:val="ka-GE" w:eastAsia="en-GB"/>
        </w:rPr>
        <w:t xml:space="preserve"> </w:t>
      </w:r>
      <w:r w:rsidR="00B331A8" w:rsidRPr="00F7428D">
        <w:rPr>
          <w:rFonts w:ascii="Sylfaen" w:hAnsi="Sylfaen" w:cs="Sylfaen"/>
          <w:lang w:val="ka-GE" w:eastAsia="en-GB"/>
        </w:rPr>
        <w:t>იმ</w:t>
      </w:r>
      <w:r w:rsidR="00B331A8" w:rsidRPr="00F7428D">
        <w:rPr>
          <w:lang w:val="ka-GE" w:eastAsia="en-GB"/>
        </w:rPr>
        <w:t xml:space="preserve"> </w:t>
      </w:r>
      <w:r w:rsidR="00B331A8" w:rsidRPr="00F7428D">
        <w:rPr>
          <w:rFonts w:ascii="Sylfaen" w:hAnsi="Sylfaen" w:cs="Sylfaen"/>
          <w:lang w:val="ka-GE" w:eastAsia="en-GB"/>
        </w:rPr>
        <w:t>გლობალურ</w:t>
      </w:r>
      <w:r w:rsidR="00B331A8" w:rsidRPr="00F7428D">
        <w:rPr>
          <w:lang w:val="ka-GE" w:eastAsia="en-GB"/>
        </w:rPr>
        <w:t xml:space="preserve"> </w:t>
      </w:r>
      <w:r w:rsidR="00B331A8" w:rsidRPr="00F7428D">
        <w:rPr>
          <w:rFonts w:ascii="Sylfaen" w:hAnsi="Sylfaen" w:cs="Sylfaen"/>
          <w:lang w:val="ka-GE" w:eastAsia="en-GB"/>
        </w:rPr>
        <w:t>ინიციატივაში</w:t>
      </w:r>
      <w:r w:rsidR="00B331A8" w:rsidRPr="00F7428D">
        <w:rPr>
          <w:lang w:val="ka-GE" w:eastAsia="en-GB"/>
        </w:rPr>
        <w:t xml:space="preserve">, </w:t>
      </w:r>
      <w:r w:rsidR="00B331A8" w:rsidRPr="00F7428D">
        <w:rPr>
          <w:rFonts w:ascii="Sylfaen" w:hAnsi="Sylfaen" w:cs="Sylfaen"/>
          <w:lang w:val="ka-GE" w:eastAsia="en-GB"/>
        </w:rPr>
        <w:t>რასაც</w:t>
      </w:r>
      <w:r w:rsidR="00B331A8" w:rsidRPr="00F7428D">
        <w:rPr>
          <w:lang w:val="ka-GE" w:eastAsia="en-GB"/>
        </w:rPr>
        <w:t xml:space="preserve"> </w:t>
      </w:r>
      <w:r w:rsidR="00B331A8" w:rsidRPr="00F7428D">
        <w:rPr>
          <w:rFonts w:ascii="Sylfaen" w:hAnsi="Sylfaen" w:cs="Sylfaen"/>
          <w:lang w:val="ka-GE" w:eastAsia="en-GB"/>
        </w:rPr>
        <w:t>აბრეშუმის</w:t>
      </w:r>
      <w:r w:rsidR="00B331A8" w:rsidRPr="00F7428D">
        <w:rPr>
          <w:lang w:val="ka-GE" w:eastAsia="en-GB"/>
        </w:rPr>
        <w:t xml:space="preserve"> </w:t>
      </w:r>
      <w:r w:rsidR="00B331A8" w:rsidRPr="00F7428D">
        <w:rPr>
          <w:rFonts w:ascii="Sylfaen" w:hAnsi="Sylfaen" w:cs="Sylfaen"/>
          <w:lang w:val="ka-GE" w:eastAsia="en-GB"/>
        </w:rPr>
        <w:t>გზა</w:t>
      </w:r>
      <w:r w:rsidR="00B331A8" w:rsidRPr="00F7428D">
        <w:rPr>
          <w:lang w:val="ka-GE" w:eastAsia="en-GB"/>
        </w:rPr>
        <w:t xml:space="preserve"> </w:t>
      </w:r>
      <w:r w:rsidR="00B331A8" w:rsidRPr="00F7428D">
        <w:rPr>
          <w:rFonts w:ascii="Sylfaen" w:hAnsi="Sylfaen" w:cs="Sylfaen"/>
          <w:lang w:val="ka-GE" w:eastAsia="en-GB"/>
        </w:rPr>
        <w:t>ითვალისწინებს</w:t>
      </w:r>
      <w:r w:rsidR="00B331A8">
        <w:rPr>
          <w:lang w:val="ka-GE" w:eastAsia="en-GB"/>
        </w:rPr>
        <w:t xml:space="preserve">. </w:t>
      </w:r>
      <w:r w:rsidR="00B331A8" w:rsidRPr="00F7428D">
        <w:rPr>
          <w:rFonts w:ascii="Sylfaen" w:hAnsi="Sylfaen" w:cs="Sylfaen"/>
          <w:lang w:val="ka-GE" w:eastAsia="en-GB"/>
        </w:rPr>
        <w:t>საერთაშორისო</w:t>
      </w:r>
      <w:r w:rsidR="00B331A8" w:rsidRPr="00F7428D">
        <w:rPr>
          <w:lang w:val="ka-GE" w:eastAsia="en-GB"/>
        </w:rPr>
        <w:t xml:space="preserve"> </w:t>
      </w:r>
      <w:r w:rsidR="00B331A8" w:rsidRPr="00F7428D">
        <w:rPr>
          <w:rFonts w:ascii="Sylfaen" w:hAnsi="Sylfaen" w:cs="Sylfaen"/>
          <w:lang w:val="ka-GE" w:eastAsia="en-GB"/>
        </w:rPr>
        <w:t>კომპანიებსა</w:t>
      </w:r>
      <w:r w:rsidR="00B331A8" w:rsidRPr="00F7428D">
        <w:rPr>
          <w:lang w:val="ka-GE" w:eastAsia="en-GB"/>
        </w:rPr>
        <w:t xml:space="preserve"> </w:t>
      </w:r>
      <w:r w:rsidR="00B331A8" w:rsidRPr="00F7428D">
        <w:rPr>
          <w:rFonts w:ascii="Sylfaen" w:hAnsi="Sylfaen" w:cs="Sylfaen"/>
          <w:lang w:val="ka-GE" w:eastAsia="en-GB"/>
        </w:rPr>
        <w:t>და</w:t>
      </w:r>
      <w:r w:rsidR="00B331A8" w:rsidRPr="00F7428D">
        <w:rPr>
          <w:lang w:val="ka-GE" w:eastAsia="en-GB"/>
        </w:rPr>
        <w:t xml:space="preserve"> </w:t>
      </w:r>
      <w:r w:rsidR="00B331A8" w:rsidRPr="00F7428D">
        <w:rPr>
          <w:rFonts w:ascii="Sylfaen" w:hAnsi="Sylfaen" w:cs="Sylfaen"/>
          <w:lang w:val="ka-GE" w:eastAsia="en-GB"/>
        </w:rPr>
        <w:t>ქვეყნებს</w:t>
      </w:r>
      <w:r w:rsidR="00B331A8" w:rsidRPr="00F7428D">
        <w:rPr>
          <w:lang w:val="ka-GE" w:eastAsia="en-GB"/>
        </w:rPr>
        <w:t xml:space="preserve"> </w:t>
      </w:r>
      <w:r w:rsidR="00B331A8" w:rsidRPr="00F7428D">
        <w:rPr>
          <w:rFonts w:ascii="Sylfaen" w:hAnsi="Sylfaen" w:cs="Sylfaen"/>
          <w:lang w:val="ka-GE" w:eastAsia="en-GB"/>
        </w:rPr>
        <w:t>შორის</w:t>
      </w:r>
      <w:r w:rsidR="00B331A8" w:rsidRPr="00F7428D">
        <w:rPr>
          <w:lang w:val="ka-GE" w:eastAsia="en-GB"/>
        </w:rPr>
        <w:t xml:space="preserve"> </w:t>
      </w:r>
      <w:r w:rsidR="00B331A8" w:rsidRPr="00F7428D">
        <w:rPr>
          <w:rFonts w:ascii="Sylfaen" w:hAnsi="Sylfaen" w:cs="Sylfaen"/>
          <w:lang w:val="ka-GE" w:eastAsia="en-GB"/>
        </w:rPr>
        <w:t>გაფორმდა</w:t>
      </w:r>
      <w:r w:rsidR="00B331A8" w:rsidRPr="00F7428D">
        <w:rPr>
          <w:lang w:val="ka-GE" w:eastAsia="en-GB"/>
        </w:rPr>
        <w:t xml:space="preserve"> </w:t>
      </w:r>
      <w:r w:rsidR="00B331A8" w:rsidRPr="00F7428D">
        <w:rPr>
          <w:rFonts w:ascii="Sylfaen" w:hAnsi="Sylfaen" w:cs="Sylfaen"/>
          <w:lang w:val="ka-GE" w:eastAsia="en-GB"/>
        </w:rPr>
        <w:t>რიგი</w:t>
      </w:r>
      <w:r w:rsidR="00B331A8" w:rsidRPr="00F7428D">
        <w:rPr>
          <w:lang w:val="ka-GE" w:eastAsia="en-GB"/>
        </w:rPr>
        <w:t xml:space="preserve"> </w:t>
      </w:r>
      <w:r w:rsidR="00B331A8" w:rsidRPr="00F7428D">
        <w:rPr>
          <w:rFonts w:ascii="Sylfaen" w:hAnsi="Sylfaen" w:cs="Sylfaen"/>
          <w:lang w:val="ka-GE" w:eastAsia="en-GB"/>
        </w:rPr>
        <w:t>მემორანდუმები</w:t>
      </w:r>
      <w:r w:rsidR="00B331A8" w:rsidRPr="00F7428D">
        <w:rPr>
          <w:lang w:val="ka-GE" w:eastAsia="en-GB"/>
        </w:rPr>
        <w:t xml:space="preserve"> </w:t>
      </w:r>
      <w:r w:rsidR="00B331A8" w:rsidRPr="00F7428D">
        <w:rPr>
          <w:rFonts w:ascii="Sylfaen" w:hAnsi="Sylfaen" w:cs="Sylfaen"/>
          <w:lang w:val="ka-GE" w:eastAsia="en-GB"/>
        </w:rPr>
        <w:t>და</w:t>
      </w:r>
      <w:r w:rsidR="00B331A8" w:rsidRPr="00F7428D">
        <w:rPr>
          <w:lang w:val="ka-GE" w:eastAsia="en-GB"/>
        </w:rPr>
        <w:t xml:space="preserve"> </w:t>
      </w:r>
      <w:r w:rsidR="00B331A8" w:rsidRPr="00F7428D">
        <w:rPr>
          <w:rFonts w:ascii="Sylfaen" w:hAnsi="Sylfaen" w:cs="Sylfaen"/>
          <w:lang w:val="ka-GE" w:eastAsia="en-GB"/>
        </w:rPr>
        <w:t>ხელშეკრულებები</w:t>
      </w:r>
      <w:r w:rsidR="00B331A8">
        <w:rPr>
          <w:lang w:val="ka-GE" w:eastAsia="en-GB"/>
        </w:rPr>
        <w:t xml:space="preserve">, </w:t>
      </w:r>
      <w:r w:rsidR="00B331A8" w:rsidRPr="00F7428D">
        <w:rPr>
          <w:rFonts w:ascii="Sylfaen" w:hAnsi="Sylfaen" w:cs="Sylfaen"/>
          <w:lang w:val="ka-GE" w:eastAsia="en-GB"/>
        </w:rPr>
        <w:t>რომლებიც</w:t>
      </w:r>
      <w:r w:rsidR="00B331A8" w:rsidRPr="00F7428D">
        <w:rPr>
          <w:lang w:val="ka-GE" w:eastAsia="en-GB"/>
        </w:rPr>
        <w:t xml:space="preserve"> </w:t>
      </w:r>
      <w:r w:rsidR="00B331A8" w:rsidRPr="00F7428D">
        <w:rPr>
          <w:rFonts w:ascii="Sylfaen" w:hAnsi="Sylfaen" w:cs="Sylfaen"/>
          <w:lang w:val="ka-GE" w:eastAsia="en-GB"/>
        </w:rPr>
        <w:t>ითვალისწინებს</w:t>
      </w:r>
      <w:r w:rsidR="00B331A8" w:rsidRPr="00F7428D">
        <w:rPr>
          <w:lang w:val="ka-GE" w:eastAsia="en-GB"/>
        </w:rPr>
        <w:t xml:space="preserve"> </w:t>
      </w:r>
      <w:r w:rsidR="00B331A8" w:rsidRPr="00F7428D">
        <w:rPr>
          <w:rFonts w:ascii="Sylfaen" w:hAnsi="Sylfaen" w:cs="Sylfaen"/>
          <w:lang w:val="ka-GE" w:eastAsia="en-GB"/>
        </w:rPr>
        <w:t>ქვეყნებს</w:t>
      </w:r>
      <w:r w:rsidR="00B331A8" w:rsidRPr="00F7428D">
        <w:rPr>
          <w:lang w:val="ka-GE" w:eastAsia="en-GB"/>
        </w:rPr>
        <w:t xml:space="preserve"> </w:t>
      </w:r>
      <w:r w:rsidR="00B331A8" w:rsidRPr="00F7428D">
        <w:rPr>
          <w:rFonts w:ascii="Sylfaen" w:hAnsi="Sylfaen" w:cs="Sylfaen"/>
          <w:lang w:val="ka-GE" w:eastAsia="en-GB"/>
        </w:rPr>
        <w:t>შორის</w:t>
      </w:r>
      <w:r w:rsidR="00B331A8" w:rsidRPr="00F7428D">
        <w:rPr>
          <w:lang w:val="ka-GE" w:eastAsia="en-GB"/>
        </w:rPr>
        <w:t xml:space="preserve"> </w:t>
      </w:r>
      <w:r w:rsidR="00B331A8" w:rsidRPr="00F7428D">
        <w:rPr>
          <w:rFonts w:ascii="Sylfaen" w:hAnsi="Sylfaen" w:cs="Sylfaen"/>
          <w:lang w:val="ka-GE" w:eastAsia="en-GB"/>
        </w:rPr>
        <w:t>სავაჭრო</w:t>
      </w:r>
      <w:r w:rsidR="00B331A8">
        <w:rPr>
          <w:lang w:val="ka-GE" w:eastAsia="en-GB"/>
        </w:rPr>
        <w:t>-</w:t>
      </w:r>
      <w:r w:rsidR="00B331A8" w:rsidRPr="00F7428D">
        <w:rPr>
          <w:rFonts w:ascii="Sylfaen" w:hAnsi="Sylfaen" w:cs="Sylfaen"/>
          <w:lang w:val="ka-GE" w:eastAsia="en-GB"/>
        </w:rPr>
        <w:t>ეკონომიკური</w:t>
      </w:r>
      <w:r w:rsidR="00B331A8" w:rsidRPr="00F7428D">
        <w:rPr>
          <w:lang w:val="ka-GE" w:eastAsia="en-GB"/>
        </w:rPr>
        <w:t xml:space="preserve"> </w:t>
      </w:r>
      <w:r w:rsidR="00B331A8" w:rsidRPr="00F7428D">
        <w:rPr>
          <w:rFonts w:ascii="Sylfaen" w:hAnsi="Sylfaen" w:cs="Sylfaen"/>
          <w:lang w:val="ka-GE" w:eastAsia="en-GB"/>
        </w:rPr>
        <w:t>ურთიერთობების</w:t>
      </w:r>
      <w:r w:rsidR="00B331A8" w:rsidRPr="00F7428D">
        <w:rPr>
          <w:lang w:val="ka-GE" w:eastAsia="en-GB"/>
        </w:rPr>
        <w:t xml:space="preserve"> </w:t>
      </w:r>
      <w:r w:rsidR="00B331A8" w:rsidRPr="00F7428D">
        <w:rPr>
          <w:rFonts w:ascii="Sylfaen" w:hAnsi="Sylfaen" w:cs="Sylfaen"/>
          <w:lang w:val="ka-GE" w:eastAsia="en-GB"/>
        </w:rPr>
        <w:t>გაუმჯობესებასა</w:t>
      </w:r>
      <w:r w:rsidR="00B331A8" w:rsidRPr="00F7428D">
        <w:rPr>
          <w:lang w:val="ka-GE" w:eastAsia="en-GB"/>
        </w:rPr>
        <w:t xml:space="preserve"> </w:t>
      </w:r>
      <w:r w:rsidR="00B331A8" w:rsidRPr="00F7428D">
        <w:rPr>
          <w:rFonts w:ascii="Sylfaen" w:hAnsi="Sylfaen" w:cs="Sylfaen"/>
          <w:lang w:val="ka-GE" w:eastAsia="en-GB"/>
        </w:rPr>
        <w:t>და</w:t>
      </w:r>
      <w:r w:rsidR="00B331A8" w:rsidRPr="00F7428D">
        <w:rPr>
          <w:lang w:val="ka-GE" w:eastAsia="en-GB"/>
        </w:rPr>
        <w:t xml:space="preserve"> </w:t>
      </w:r>
      <w:r w:rsidR="00B331A8">
        <w:rPr>
          <w:rFonts w:ascii="Sylfaen" w:hAnsi="Sylfaen"/>
          <w:lang w:val="ka-GE" w:eastAsia="en-GB"/>
        </w:rPr>
        <w:t xml:space="preserve">აბრეშუმის გზის დერეფნის კონკურენტუნარიანობის ამაღლებას. </w:t>
      </w:r>
    </w:p>
    <w:p w:rsidR="00F57F3B" w:rsidRDefault="00386118" w:rsidP="00254BEE">
      <w:pPr>
        <w:pStyle w:val="NormalWeb"/>
        <w:spacing w:after="225"/>
        <w:jc w:val="both"/>
        <w:rPr>
          <w:rFonts w:ascii="Sylfaen" w:hAnsi="Sylfaen"/>
          <w:sz w:val="22"/>
          <w:szCs w:val="20"/>
          <w:lang w:val="ka-GE"/>
        </w:rPr>
      </w:pPr>
      <w:r w:rsidRPr="00386118">
        <w:rPr>
          <w:rFonts w:ascii="Sylfaen" w:hAnsi="Sylfaen"/>
          <w:sz w:val="22"/>
          <w:szCs w:val="20"/>
          <w:lang w:val="ka-GE"/>
        </w:rPr>
        <w:t>2018 წლის 20-22 თებერვალს ქ. თბილისში საავიაც</w:t>
      </w:r>
      <w:r>
        <w:rPr>
          <w:rFonts w:ascii="Sylfaen" w:hAnsi="Sylfaen"/>
          <w:sz w:val="22"/>
          <w:szCs w:val="20"/>
          <w:lang w:val="ka-GE"/>
        </w:rPr>
        <w:t xml:space="preserve">იო ფორუმი CONNECT 2018 ჩატარდა. </w:t>
      </w:r>
      <w:r w:rsidRPr="00386118">
        <w:rPr>
          <w:rFonts w:ascii="Sylfaen" w:hAnsi="Sylfaen"/>
          <w:sz w:val="22"/>
          <w:szCs w:val="20"/>
          <w:lang w:val="ka-GE"/>
        </w:rPr>
        <w:t>ღონისძიებას ორგანიზებას საქართველოს ეკონომიკისა და მდგრადი განვითარების სამინისტროს შპს ,,საქართველოს აე</w:t>
      </w:r>
      <w:r>
        <w:rPr>
          <w:rFonts w:ascii="Sylfaen" w:hAnsi="Sylfaen"/>
          <w:sz w:val="22"/>
          <w:szCs w:val="20"/>
          <w:lang w:val="ka-GE"/>
        </w:rPr>
        <w:t xml:space="preserve">როპორტების გაერთიანება“ უწევდა. </w:t>
      </w:r>
      <w:r w:rsidRPr="00386118">
        <w:rPr>
          <w:rFonts w:ascii="Sylfaen" w:hAnsi="Sylfaen"/>
          <w:sz w:val="22"/>
          <w:szCs w:val="20"/>
          <w:lang w:val="ka-GE"/>
        </w:rPr>
        <w:t xml:space="preserve">ღონისძიების </w:t>
      </w:r>
      <w:r>
        <w:rPr>
          <w:rFonts w:ascii="Sylfaen" w:hAnsi="Sylfaen"/>
          <w:sz w:val="22"/>
          <w:szCs w:val="20"/>
          <w:lang w:val="ka-GE"/>
        </w:rPr>
        <w:t xml:space="preserve">პარტნიორი ორგანიზაციები იყვნენ: </w:t>
      </w:r>
    </w:p>
    <w:p w:rsidR="00F57F3B" w:rsidRDefault="00386118" w:rsidP="00254BEE">
      <w:pPr>
        <w:pStyle w:val="NormalWeb"/>
        <w:numPr>
          <w:ilvl w:val="0"/>
          <w:numId w:val="4"/>
        </w:numPr>
        <w:spacing w:after="225"/>
        <w:jc w:val="both"/>
        <w:rPr>
          <w:rFonts w:ascii="Sylfaen" w:hAnsi="Sylfaen"/>
          <w:sz w:val="22"/>
          <w:szCs w:val="20"/>
          <w:lang w:val="ka-GE"/>
        </w:rPr>
      </w:pPr>
      <w:r>
        <w:rPr>
          <w:rFonts w:ascii="Sylfaen" w:hAnsi="Sylfaen"/>
          <w:sz w:val="22"/>
          <w:szCs w:val="20"/>
          <w:lang w:val="ka-GE"/>
        </w:rPr>
        <w:t>ტ</w:t>
      </w:r>
      <w:r w:rsidR="00F57F3B">
        <w:rPr>
          <w:rFonts w:ascii="Sylfaen" w:hAnsi="Sylfaen"/>
          <w:sz w:val="22"/>
          <w:szCs w:val="20"/>
          <w:lang w:val="ka-GE"/>
        </w:rPr>
        <w:t>ურიზმის ეროვნული ადმინისტრაცია</w:t>
      </w:r>
    </w:p>
    <w:p w:rsidR="00F57F3B" w:rsidRDefault="00386118" w:rsidP="00254BEE">
      <w:pPr>
        <w:pStyle w:val="NormalWeb"/>
        <w:numPr>
          <w:ilvl w:val="0"/>
          <w:numId w:val="4"/>
        </w:numPr>
        <w:spacing w:after="225"/>
        <w:jc w:val="both"/>
        <w:rPr>
          <w:rFonts w:ascii="Sylfaen" w:hAnsi="Sylfaen"/>
          <w:sz w:val="22"/>
          <w:szCs w:val="20"/>
          <w:lang w:val="ka-GE"/>
        </w:rPr>
      </w:pPr>
      <w:r w:rsidRPr="00386118">
        <w:rPr>
          <w:rFonts w:ascii="Sylfaen" w:hAnsi="Sylfaen"/>
          <w:sz w:val="22"/>
          <w:szCs w:val="20"/>
          <w:lang w:val="ka-GE"/>
        </w:rPr>
        <w:t xml:space="preserve">კომპანია </w:t>
      </w:r>
      <w:proofErr w:type="spellStart"/>
      <w:r w:rsidRPr="00386118">
        <w:rPr>
          <w:rFonts w:ascii="Sylfaen" w:hAnsi="Sylfaen"/>
          <w:sz w:val="22"/>
          <w:szCs w:val="20"/>
          <w:lang w:val="ka-GE"/>
        </w:rPr>
        <w:t>Airport</w:t>
      </w:r>
      <w:proofErr w:type="spellEnd"/>
      <w:r w:rsidRPr="00386118">
        <w:rPr>
          <w:rFonts w:ascii="Sylfaen" w:hAnsi="Sylfaen"/>
          <w:sz w:val="22"/>
          <w:szCs w:val="20"/>
          <w:lang w:val="ka-GE"/>
        </w:rPr>
        <w:t xml:space="preserve"> </w:t>
      </w:r>
      <w:proofErr w:type="spellStart"/>
      <w:r w:rsidRPr="00386118">
        <w:rPr>
          <w:rFonts w:ascii="Sylfaen" w:hAnsi="Sylfaen"/>
          <w:sz w:val="22"/>
          <w:szCs w:val="20"/>
          <w:lang w:val="ka-GE"/>
        </w:rPr>
        <w:t>Agency</w:t>
      </w:r>
      <w:proofErr w:type="spellEnd"/>
      <w:r w:rsidRPr="00386118">
        <w:rPr>
          <w:rFonts w:ascii="Sylfaen" w:hAnsi="Sylfaen"/>
          <w:sz w:val="22"/>
          <w:szCs w:val="20"/>
          <w:lang w:val="ka-GE"/>
        </w:rPr>
        <w:t xml:space="preserve"> </w:t>
      </w:r>
      <w:proofErr w:type="spellStart"/>
      <w:r w:rsidRPr="00386118">
        <w:rPr>
          <w:rFonts w:ascii="Sylfaen" w:hAnsi="Sylfaen"/>
          <w:sz w:val="22"/>
          <w:szCs w:val="20"/>
          <w:lang w:val="ka-GE"/>
        </w:rPr>
        <w:t>France</w:t>
      </w:r>
      <w:proofErr w:type="spellEnd"/>
      <w:r w:rsidRPr="00386118">
        <w:rPr>
          <w:rFonts w:ascii="Sylfaen" w:hAnsi="Sylfaen"/>
          <w:sz w:val="22"/>
          <w:szCs w:val="20"/>
          <w:lang w:val="ka-GE"/>
        </w:rPr>
        <w:t xml:space="preserve"> (CONNECT </w:t>
      </w:r>
      <w:r>
        <w:rPr>
          <w:rFonts w:ascii="Sylfaen" w:hAnsi="Sylfaen"/>
          <w:sz w:val="22"/>
          <w:szCs w:val="20"/>
          <w:lang w:val="ka-GE"/>
        </w:rPr>
        <w:t>–</w:t>
      </w:r>
      <w:r w:rsidR="00F57F3B">
        <w:rPr>
          <w:rFonts w:ascii="Sylfaen" w:hAnsi="Sylfaen"/>
          <w:sz w:val="22"/>
          <w:szCs w:val="20"/>
          <w:lang w:val="ka-GE"/>
        </w:rPr>
        <w:t xml:space="preserve"> ის ბრენდის მფლობელი კომპანია)</w:t>
      </w:r>
    </w:p>
    <w:p w:rsidR="00386118" w:rsidRPr="00F57F3B" w:rsidRDefault="00386118" w:rsidP="00254BEE">
      <w:pPr>
        <w:pStyle w:val="NormalWeb"/>
        <w:numPr>
          <w:ilvl w:val="0"/>
          <w:numId w:val="4"/>
        </w:numPr>
        <w:spacing w:after="225"/>
        <w:jc w:val="both"/>
        <w:rPr>
          <w:rFonts w:ascii="Sylfaen" w:hAnsi="Sylfaen"/>
          <w:sz w:val="22"/>
          <w:szCs w:val="20"/>
          <w:lang w:val="ka-GE"/>
        </w:rPr>
      </w:pPr>
      <w:proofErr w:type="spellStart"/>
      <w:r w:rsidRPr="00386118">
        <w:rPr>
          <w:rFonts w:ascii="Sylfaen" w:hAnsi="Sylfaen"/>
          <w:sz w:val="22"/>
          <w:szCs w:val="20"/>
          <w:lang w:val="ka-GE"/>
        </w:rPr>
        <w:t>ტავ</w:t>
      </w:r>
      <w:proofErr w:type="spellEnd"/>
      <w:r w:rsidRPr="00386118">
        <w:rPr>
          <w:rFonts w:ascii="Sylfaen" w:hAnsi="Sylfaen"/>
          <w:sz w:val="22"/>
          <w:szCs w:val="20"/>
          <w:lang w:val="ka-GE"/>
        </w:rPr>
        <w:t xml:space="preserve"> ურბან საქართველო,   ATU ჯორჯია,   </w:t>
      </w:r>
      <w:proofErr w:type="spellStart"/>
      <w:r w:rsidRPr="00386118">
        <w:rPr>
          <w:rFonts w:ascii="Sylfaen" w:hAnsi="Sylfaen"/>
          <w:sz w:val="22"/>
          <w:szCs w:val="20"/>
          <w:lang w:val="ka-GE"/>
        </w:rPr>
        <w:t>Georgian</w:t>
      </w:r>
      <w:proofErr w:type="spellEnd"/>
      <w:r w:rsidRPr="00386118">
        <w:rPr>
          <w:rFonts w:ascii="Sylfaen" w:hAnsi="Sylfaen"/>
          <w:sz w:val="22"/>
          <w:szCs w:val="20"/>
          <w:lang w:val="ka-GE"/>
        </w:rPr>
        <w:t xml:space="preserve"> </w:t>
      </w:r>
      <w:proofErr w:type="spellStart"/>
      <w:r w:rsidRPr="00386118">
        <w:rPr>
          <w:rFonts w:ascii="Sylfaen" w:hAnsi="Sylfaen"/>
          <w:sz w:val="22"/>
          <w:szCs w:val="20"/>
          <w:lang w:val="ka-GE"/>
        </w:rPr>
        <w:t>Capitals</w:t>
      </w:r>
      <w:proofErr w:type="spellEnd"/>
      <w:r w:rsidRPr="00386118">
        <w:rPr>
          <w:rFonts w:ascii="Sylfaen" w:hAnsi="Sylfaen"/>
          <w:sz w:val="22"/>
          <w:szCs w:val="20"/>
          <w:lang w:val="ka-GE"/>
        </w:rPr>
        <w:t xml:space="preserve">, კომპანია </w:t>
      </w:r>
      <w:proofErr w:type="spellStart"/>
      <w:r w:rsidRPr="00386118">
        <w:rPr>
          <w:rFonts w:ascii="Sylfaen" w:hAnsi="Sylfaen"/>
          <w:sz w:val="22"/>
          <w:szCs w:val="20"/>
          <w:lang w:val="ka-GE"/>
        </w:rPr>
        <w:t>Voyager</w:t>
      </w:r>
      <w:proofErr w:type="spellEnd"/>
      <w:r w:rsidRPr="00386118">
        <w:rPr>
          <w:rFonts w:ascii="Sylfaen" w:hAnsi="Sylfaen"/>
          <w:sz w:val="22"/>
          <w:szCs w:val="20"/>
          <w:lang w:val="ka-GE"/>
        </w:rPr>
        <w:t xml:space="preserve">,   მეტრო ჯორჯია,   </w:t>
      </w:r>
      <w:proofErr w:type="spellStart"/>
      <w:r w:rsidRPr="00386118">
        <w:rPr>
          <w:rFonts w:ascii="Sylfaen" w:hAnsi="Sylfaen"/>
          <w:sz w:val="22"/>
          <w:szCs w:val="20"/>
          <w:lang w:val="ka-GE"/>
        </w:rPr>
        <w:t>ჯორჯიან</w:t>
      </w:r>
      <w:proofErr w:type="spellEnd"/>
      <w:r w:rsidRPr="00386118">
        <w:rPr>
          <w:rFonts w:ascii="Sylfaen" w:hAnsi="Sylfaen"/>
          <w:sz w:val="22"/>
          <w:szCs w:val="20"/>
          <w:lang w:val="ka-GE"/>
        </w:rPr>
        <w:t xml:space="preserve"> ბასი,   </w:t>
      </w:r>
      <w:proofErr w:type="spellStart"/>
      <w:r w:rsidRPr="00386118">
        <w:rPr>
          <w:rFonts w:ascii="Sylfaen" w:hAnsi="Sylfaen"/>
          <w:sz w:val="22"/>
          <w:szCs w:val="20"/>
          <w:lang w:val="ka-GE"/>
        </w:rPr>
        <w:t>ბორჯობი</w:t>
      </w:r>
      <w:proofErr w:type="spellEnd"/>
      <w:r w:rsidRPr="00386118">
        <w:rPr>
          <w:rFonts w:ascii="Sylfaen" w:hAnsi="Sylfaen"/>
          <w:sz w:val="22"/>
          <w:szCs w:val="20"/>
          <w:lang w:val="ka-GE"/>
        </w:rPr>
        <w:t xml:space="preserve">,   სარაჯიშვილი, კომპანია ნატახტარი, კომპანია Expedia </w:t>
      </w:r>
      <w:proofErr w:type="spellStart"/>
      <w:r w:rsidRPr="00386118">
        <w:rPr>
          <w:rFonts w:ascii="Sylfaen" w:hAnsi="Sylfaen"/>
          <w:sz w:val="22"/>
          <w:szCs w:val="20"/>
          <w:lang w:val="ka-GE"/>
        </w:rPr>
        <w:t>Media</w:t>
      </w:r>
      <w:proofErr w:type="spellEnd"/>
      <w:r w:rsidRPr="00386118">
        <w:rPr>
          <w:rFonts w:ascii="Sylfaen" w:hAnsi="Sylfaen"/>
          <w:sz w:val="22"/>
          <w:szCs w:val="20"/>
          <w:lang w:val="ka-GE"/>
        </w:rPr>
        <w:t xml:space="preserve"> </w:t>
      </w:r>
      <w:proofErr w:type="spellStart"/>
      <w:r w:rsidRPr="00386118">
        <w:rPr>
          <w:rFonts w:ascii="Sylfaen" w:hAnsi="Sylfaen"/>
          <w:sz w:val="22"/>
          <w:szCs w:val="20"/>
          <w:lang w:val="ka-GE"/>
        </w:rPr>
        <w:t>Solutions</w:t>
      </w:r>
      <w:proofErr w:type="spellEnd"/>
      <w:r w:rsidRPr="00386118">
        <w:rPr>
          <w:rFonts w:ascii="Sylfaen" w:hAnsi="Sylfaen"/>
          <w:sz w:val="22"/>
          <w:szCs w:val="20"/>
          <w:lang w:val="ka-GE"/>
        </w:rPr>
        <w:t xml:space="preserve">, კომპანია იულიუს მეინლი,  თელიანი ველი, კომპანია დელფი. </w:t>
      </w:r>
    </w:p>
    <w:p w:rsidR="00386118" w:rsidRDefault="00386118" w:rsidP="00254BEE">
      <w:pPr>
        <w:pStyle w:val="NormalWeb"/>
        <w:spacing w:after="225"/>
        <w:jc w:val="both"/>
        <w:rPr>
          <w:rFonts w:ascii="Sylfaen" w:hAnsi="Sylfaen"/>
          <w:sz w:val="22"/>
          <w:szCs w:val="20"/>
          <w:lang w:val="ka-GE"/>
        </w:rPr>
      </w:pPr>
      <w:r w:rsidRPr="00386118">
        <w:rPr>
          <w:rFonts w:ascii="Sylfaen" w:hAnsi="Sylfaen"/>
          <w:sz w:val="22"/>
          <w:szCs w:val="20"/>
          <w:lang w:val="ka-GE"/>
        </w:rPr>
        <w:t xml:space="preserve">საავიაციო ფორუმი მიზნად ისახავდა საქართველოს, როგორც </w:t>
      </w:r>
      <w:proofErr w:type="spellStart"/>
      <w:r w:rsidRPr="00386118">
        <w:rPr>
          <w:rFonts w:ascii="Sylfaen" w:hAnsi="Sylfaen"/>
          <w:sz w:val="22"/>
          <w:szCs w:val="20"/>
          <w:lang w:val="ka-GE"/>
        </w:rPr>
        <w:t>ავიამიმართულების</w:t>
      </w:r>
      <w:proofErr w:type="spellEnd"/>
      <w:r w:rsidRPr="00386118">
        <w:rPr>
          <w:rFonts w:ascii="Sylfaen" w:hAnsi="Sylfaen"/>
          <w:sz w:val="22"/>
          <w:szCs w:val="20"/>
          <w:lang w:val="ka-GE"/>
        </w:rPr>
        <w:t xml:space="preserve"> და ტურისტულად მიმზიდველი ქვეყნის გაცნობას ევროპის ავიაკომპანიებისა და </w:t>
      </w:r>
      <w:proofErr w:type="spellStart"/>
      <w:r w:rsidRPr="00386118">
        <w:rPr>
          <w:rFonts w:ascii="Sylfaen" w:hAnsi="Sylfaen"/>
          <w:sz w:val="22"/>
          <w:szCs w:val="20"/>
          <w:lang w:val="ka-GE"/>
        </w:rPr>
        <w:t>ავიაინდუსტრიის</w:t>
      </w:r>
      <w:proofErr w:type="spellEnd"/>
      <w:r w:rsidRPr="00386118">
        <w:rPr>
          <w:rFonts w:ascii="Sylfaen" w:hAnsi="Sylfaen"/>
          <w:sz w:val="22"/>
          <w:szCs w:val="20"/>
          <w:lang w:val="ka-GE"/>
        </w:rPr>
        <w:t xml:space="preserve"> სფე</w:t>
      </w:r>
      <w:r w:rsidR="00F57F3B">
        <w:rPr>
          <w:rFonts w:ascii="Sylfaen" w:hAnsi="Sylfaen"/>
          <w:sz w:val="22"/>
          <w:szCs w:val="20"/>
          <w:lang w:val="ka-GE"/>
        </w:rPr>
        <w:t>როს სხვა წარმომადგენლებისათვის.</w:t>
      </w:r>
      <w:r w:rsidR="00D52933">
        <w:rPr>
          <w:rFonts w:ascii="Sylfaen" w:hAnsi="Sylfaen"/>
          <w:sz w:val="22"/>
          <w:szCs w:val="20"/>
          <w:lang w:val="ka-GE"/>
        </w:rPr>
        <w:t xml:space="preserve"> </w:t>
      </w:r>
      <w:r w:rsidRPr="00386118">
        <w:rPr>
          <w:rFonts w:ascii="Sylfaen" w:hAnsi="Sylfaen"/>
          <w:sz w:val="22"/>
          <w:szCs w:val="20"/>
          <w:lang w:val="ka-GE"/>
        </w:rPr>
        <w:t xml:space="preserve">ღონისძიებაში 65 ავიაკომპანიისა და 250 აეროპორტის წარმომადგენელმა მიიღო მონაწილეობა, სულ ფორუმს </w:t>
      </w:r>
      <w:r w:rsidR="00D52933">
        <w:rPr>
          <w:rFonts w:ascii="Sylfaen" w:hAnsi="Sylfaen"/>
          <w:sz w:val="22"/>
          <w:szCs w:val="20"/>
          <w:lang w:val="ka-GE"/>
        </w:rPr>
        <w:t xml:space="preserve">500 ზე მეტი დელეგატი ესწრებოდა. </w:t>
      </w:r>
      <w:r w:rsidRPr="00386118">
        <w:rPr>
          <w:rFonts w:ascii="Sylfaen" w:hAnsi="Sylfaen"/>
          <w:sz w:val="22"/>
          <w:szCs w:val="20"/>
          <w:lang w:val="ka-GE"/>
        </w:rPr>
        <w:t>ღონისძიების ფარგლებში შედგა შეხვედრები სხვადასხვა ავიაკომპანიებთან და შედგა მოლაპარაკებები სამომავლო თანამშრომლობასთან დაკავშირებით.</w:t>
      </w:r>
    </w:p>
    <w:p w:rsidR="004A2FC2" w:rsidRDefault="004A2FC2" w:rsidP="00254BEE">
      <w:pPr>
        <w:pStyle w:val="NormalWeb"/>
        <w:spacing w:before="0" w:beforeAutospacing="0" w:after="225" w:afterAutospacing="0"/>
        <w:jc w:val="both"/>
        <w:rPr>
          <w:rFonts w:ascii="Sylfaen" w:hAnsi="Sylfaen"/>
          <w:sz w:val="22"/>
          <w:szCs w:val="20"/>
          <w:lang w:val="ka-GE"/>
        </w:rPr>
      </w:pPr>
      <w:r>
        <w:rPr>
          <w:rFonts w:ascii="Sylfaen" w:hAnsi="Sylfaen"/>
          <w:sz w:val="22"/>
          <w:szCs w:val="20"/>
          <w:lang w:val="ka-GE"/>
        </w:rPr>
        <w:t>ტურიზმის სფეროს მიღწევად უნდა ჩაითვალოს ისეთი მნიშვნელოვანი ღონისძიებების საქართველოში ჩატარება, როგორიცაა: გაეროს მსოფლიო ტურიზმის ორგანიზაციის ევრაზიის მთის კურორტების მე-3 კონფერენცია.</w:t>
      </w:r>
      <w:r w:rsidR="00634906">
        <w:rPr>
          <w:rFonts w:ascii="Sylfaen" w:hAnsi="Sylfaen"/>
          <w:sz w:val="22"/>
          <w:szCs w:val="20"/>
          <w:lang w:val="ka-GE"/>
        </w:rPr>
        <w:t xml:space="preserve"> ასევე,</w:t>
      </w:r>
      <w:r>
        <w:rPr>
          <w:rFonts w:ascii="Sylfaen" w:hAnsi="Sylfaen"/>
          <w:sz w:val="22"/>
          <w:szCs w:val="20"/>
          <w:lang w:val="ka-GE"/>
        </w:rPr>
        <w:t xml:space="preserve"> მნიშვნელოვანი ნაბიჯი იყო </w:t>
      </w:r>
      <w:r w:rsidRPr="00C527F6">
        <w:rPr>
          <w:rFonts w:ascii="Sylfaen" w:hAnsi="Sylfaen"/>
          <w:sz w:val="22"/>
          <w:szCs w:val="20"/>
          <w:lang w:val="ka-GE"/>
        </w:rPr>
        <w:t>TOUCH -</w:t>
      </w:r>
      <w:r>
        <w:rPr>
          <w:rFonts w:ascii="Sylfaen" w:hAnsi="Sylfaen"/>
          <w:sz w:val="22"/>
          <w:szCs w:val="20"/>
          <w:lang w:val="ka-GE"/>
        </w:rPr>
        <w:t xml:space="preserve"> ციფრული მარკეტინგის კონ</w:t>
      </w:r>
      <w:r w:rsidR="00634906">
        <w:rPr>
          <w:rFonts w:ascii="Sylfaen" w:hAnsi="Sylfaen"/>
          <w:sz w:val="22"/>
          <w:szCs w:val="20"/>
          <w:lang w:val="ka-GE"/>
        </w:rPr>
        <w:t>ფერენციის გამართვა საქართველოში, რომელშიც</w:t>
      </w:r>
      <w:r>
        <w:rPr>
          <w:rFonts w:ascii="Sylfaen" w:hAnsi="Sylfaen"/>
          <w:sz w:val="22"/>
          <w:szCs w:val="20"/>
          <w:lang w:val="ka-GE"/>
        </w:rPr>
        <w:t xml:space="preserve"> </w:t>
      </w:r>
      <w:proofErr w:type="spellStart"/>
      <w:r>
        <w:rPr>
          <w:rFonts w:ascii="Sylfaen" w:hAnsi="Sylfaen"/>
          <w:sz w:val="22"/>
          <w:szCs w:val="20"/>
          <w:lang w:val="ka-GE"/>
        </w:rPr>
        <w:t>Google</w:t>
      </w:r>
      <w:proofErr w:type="spellEnd"/>
      <w:r>
        <w:rPr>
          <w:rFonts w:ascii="Sylfaen" w:hAnsi="Sylfaen"/>
          <w:sz w:val="22"/>
          <w:szCs w:val="20"/>
          <w:lang w:val="ka-GE"/>
        </w:rPr>
        <w:t>/</w:t>
      </w:r>
      <w:proofErr w:type="spellStart"/>
      <w:r>
        <w:rPr>
          <w:rFonts w:ascii="Sylfaen" w:hAnsi="Sylfaen"/>
          <w:sz w:val="22"/>
          <w:szCs w:val="20"/>
          <w:lang w:val="ka-GE"/>
        </w:rPr>
        <w:t>Youtube</w:t>
      </w:r>
      <w:proofErr w:type="spellEnd"/>
      <w:r>
        <w:rPr>
          <w:rFonts w:ascii="Sylfaen" w:hAnsi="Sylfaen"/>
          <w:sz w:val="22"/>
          <w:szCs w:val="20"/>
          <w:lang w:val="ka-GE"/>
        </w:rPr>
        <w:t xml:space="preserve">-ის, </w:t>
      </w:r>
      <w:r w:rsidRPr="002F5AAF">
        <w:rPr>
          <w:rFonts w:ascii="Sylfaen" w:hAnsi="Sylfaen"/>
          <w:sz w:val="22"/>
          <w:szCs w:val="20"/>
          <w:lang w:val="ka-GE"/>
        </w:rPr>
        <w:t xml:space="preserve"> </w:t>
      </w:r>
      <w:proofErr w:type="spellStart"/>
      <w:r w:rsidRPr="002F5AAF">
        <w:rPr>
          <w:rFonts w:ascii="Sylfaen" w:hAnsi="Sylfaen"/>
          <w:sz w:val="22"/>
          <w:szCs w:val="20"/>
          <w:lang w:val="ka-GE"/>
        </w:rPr>
        <w:t>TripAdvisor</w:t>
      </w:r>
      <w:proofErr w:type="spellEnd"/>
      <w:r w:rsidRPr="002F5AAF">
        <w:rPr>
          <w:rFonts w:ascii="Sylfaen" w:hAnsi="Sylfaen"/>
          <w:sz w:val="22"/>
          <w:szCs w:val="20"/>
          <w:lang w:val="ka-GE"/>
        </w:rPr>
        <w:t>-</w:t>
      </w:r>
      <w:r>
        <w:rPr>
          <w:rFonts w:ascii="Sylfaen" w:hAnsi="Sylfaen"/>
          <w:sz w:val="22"/>
          <w:szCs w:val="20"/>
          <w:lang w:val="ka-GE"/>
        </w:rPr>
        <w:t>ის</w:t>
      </w:r>
      <w:r w:rsidRPr="002F5AAF">
        <w:rPr>
          <w:rFonts w:ascii="Sylfaen" w:hAnsi="Sylfaen"/>
          <w:sz w:val="22"/>
          <w:szCs w:val="20"/>
          <w:lang w:val="ka-GE"/>
        </w:rPr>
        <w:t xml:space="preserve">, </w:t>
      </w:r>
      <w:proofErr w:type="spellStart"/>
      <w:r w:rsidRPr="002F5AAF">
        <w:rPr>
          <w:rFonts w:ascii="Sylfaen" w:hAnsi="Sylfaen"/>
          <w:sz w:val="22"/>
          <w:szCs w:val="20"/>
          <w:lang w:val="ka-GE"/>
        </w:rPr>
        <w:t>Web</w:t>
      </w:r>
      <w:proofErr w:type="spellEnd"/>
      <w:r w:rsidRPr="002F5AAF">
        <w:rPr>
          <w:rFonts w:ascii="Sylfaen" w:hAnsi="Sylfaen"/>
          <w:sz w:val="22"/>
          <w:szCs w:val="20"/>
          <w:lang w:val="ka-GE"/>
        </w:rPr>
        <w:t xml:space="preserve"> </w:t>
      </w:r>
      <w:proofErr w:type="spellStart"/>
      <w:r w:rsidRPr="002F5AAF">
        <w:rPr>
          <w:rFonts w:ascii="Sylfaen" w:hAnsi="Sylfaen"/>
          <w:sz w:val="22"/>
          <w:szCs w:val="20"/>
          <w:lang w:val="ka-GE"/>
        </w:rPr>
        <w:t>Summit</w:t>
      </w:r>
      <w:proofErr w:type="spellEnd"/>
      <w:r w:rsidRPr="002F5AAF">
        <w:rPr>
          <w:rFonts w:ascii="Sylfaen" w:hAnsi="Sylfaen"/>
          <w:sz w:val="22"/>
          <w:szCs w:val="20"/>
          <w:lang w:val="ka-GE"/>
        </w:rPr>
        <w:t>-</w:t>
      </w:r>
      <w:r>
        <w:rPr>
          <w:rFonts w:ascii="Sylfaen" w:hAnsi="Sylfaen"/>
          <w:sz w:val="22"/>
          <w:szCs w:val="20"/>
          <w:lang w:val="ka-GE"/>
        </w:rPr>
        <w:t>ის</w:t>
      </w:r>
      <w:r w:rsidRPr="002F5AAF">
        <w:rPr>
          <w:rFonts w:ascii="Sylfaen" w:hAnsi="Sylfaen"/>
          <w:sz w:val="22"/>
          <w:szCs w:val="20"/>
          <w:lang w:val="ka-GE"/>
        </w:rPr>
        <w:t xml:space="preserve"> </w:t>
      </w:r>
      <w:r>
        <w:rPr>
          <w:rFonts w:ascii="Sylfaen" w:hAnsi="Sylfaen"/>
          <w:sz w:val="22"/>
          <w:szCs w:val="20"/>
          <w:lang w:val="ka-GE"/>
        </w:rPr>
        <w:t xml:space="preserve">ექსპერტებმა მიიღეს მონაწილეობა.  </w:t>
      </w:r>
    </w:p>
    <w:p w:rsidR="00933471" w:rsidRPr="00634906" w:rsidRDefault="00933471" w:rsidP="00254BEE">
      <w:pPr>
        <w:pStyle w:val="BodyText"/>
        <w:tabs>
          <w:tab w:val="decimal" w:pos="90"/>
          <w:tab w:val="decimal" w:pos="2430"/>
        </w:tabs>
        <w:spacing w:before="48"/>
        <w:jc w:val="both"/>
        <w:rPr>
          <w:lang w:val="ka-GE"/>
        </w:rPr>
      </w:pPr>
    </w:p>
    <w:p w:rsidR="00933471" w:rsidRPr="00634906" w:rsidRDefault="00933471" w:rsidP="00254BEE">
      <w:pPr>
        <w:pStyle w:val="BodyText"/>
        <w:tabs>
          <w:tab w:val="decimal" w:pos="90"/>
          <w:tab w:val="decimal" w:pos="2430"/>
        </w:tabs>
        <w:spacing w:before="48"/>
        <w:jc w:val="both"/>
        <w:rPr>
          <w:lang w:val="ka-GE"/>
        </w:rPr>
      </w:pPr>
    </w:p>
    <w:p w:rsidR="00933471" w:rsidRPr="00F312C6" w:rsidRDefault="00933471" w:rsidP="00254BEE">
      <w:pPr>
        <w:pStyle w:val="BodyText"/>
        <w:tabs>
          <w:tab w:val="decimal" w:pos="90"/>
          <w:tab w:val="decimal" w:pos="2430"/>
        </w:tabs>
        <w:spacing w:before="48"/>
        <w:jc w:val="both"/>
        <w:rPr>
          <w:lang w:val="ka-GE"/>
        </w:rPr>
      </w:pPr>
    </w:p>
    <w:p w:rsidR="00933471" w:rsidRPr="00F312C6" w:rsidRDefault="00933471" w:rsidP="00254BEE">
      <w:pPr>
        <w:pStyle w:val="BodyText"/>
        <w:tabs>
          <w:tab w:val="decimal" w:pos="90"/>
          <w:tab w:val="decimal" w:pos="2430"/>
        </w:tabs>
        <w:spacing w:before="48"/>
        <w:jc w:val="both"/>
        <w:rPr>
          <w:lang w:val="ka-GE"/>
        </w:rPr>
      </w:pPr>
    </w:p>
    <w:p w:rsidR="00933471" w:rsidRPr="00F312C6" w:rsidRDefault="00933471" w:rsidP="00254BEE">
      <w:pPr>
        <w:pStyle w:val="BodyText"/>
        <w:tabs>
          <w:tab w:val="decimal" w:pos="90"/>
          <w:tab w:val="decimal" w:pos="2430"/>
        </w:tabs>
        <w:spacing w:before="48"/>
        <w:jc w:val="both"/>
        <w:rPr>
          <w:lang w:val="ka-GE"/>
        </w:rPr>
      </w:pPr>
    </w:p>
    <w:p w:rsidR="00933471" w:rsidRPr="00F312C6" w:rsidRDefault="00933471" w:rsidP="00254BEE">
      <w:pPr>
        <w:pStyle w:val="BodyText"/>
        <w:tabs>
          <w:tab w:val="decimal" w:pos="90"/>
          <w:tab w:val="decimal" w:pos="2430"/>
        </w:tabs>
        <w:spacing w:before="48"/>
        <w:jc w:val="both"/>
        <w:rPr>
          <w:lang w:val="ka-GE"/>
        </w:rPr>
      </w:pPr>
    </w:p>
    <w:p w:rsidR="00933471" w:rsidRPr="00F312C6" w:rsidRDefault="00933471" w:rsidP="00254BEE">
      <w:pPr>
        <w:pStyle w:val="BodyText"/>
        <w:tabs>
          <w:tab w:val="decimal" w:pos="90"/>
          <w:tab w:val="decimal" w:pos="2430"/>
        </w:tabs>
        <w:spacing w:before="48"/>
        <w:jc w:val="both"/>
        <w:rPr>
          <w:lang w:val="ka-GE"/>
        </w:rPr>
      </w:pPr>
    </w:p>
    <w:p w:rsidR="00933471" w:rsidRPr="00F312C6" w:rsidRDefault="00933471" w:rsidP="00254BEE">
      <w:pPr>
        <w:pStyle w:val="BodyText"/>
        <w:tabs>
          <w:tab w:val="decimal" w:pos="90"/>
          <w:tab w:val="decimal" w:pos="2430"/>
        </w:tabs>
        <w:spacing w:before="48"/>
        <w:jc w:val="both"/>
        <w:rPr>
          <w:lang w:val="ka-GE"/>
        </w:rPr>
      </w:pPr>
    </w:p>
    <w:p w:rsidR="00933471" w:rsidRPr="00F312C6" w:rsidRDefault="00933471" w:rsidP="00254BEE">
      <w:pPr>
        <w:pStyle w:val="BodyText"/>
        <w:tabs>
          <w:tab w:val="decimal" w:pos="90"/>
          <w:tab w:val="decimal" w:pos="2430"/>
        </w:tabs>
        <w:spacing w:before="48"/>
        <w:jc w:val="both"/>
        <w:rPr>
          <w:lang w:val="ka-GE"/>
        </w:rPr>
      </w:pPr>
    </w:p>
    <w:p w:rsidR="00933471" w:rsidRPr="00F312C6" w:rsidRDefault="00933471" w:rsidP="00254BEE">
      <w:pPr>
        <w:pStyle w:val="BodyText"/>
        <w:tabs>
          <w:tab w:val="decimal" w:pos="90"/>
          <w:tab w:val="decimal" w:pos="2430"/>
        </w:tabs>
        <w:spacing w:before="48"/>
        <w:jc w:val="both"/>
        <w:rPr>
          <w:lang w:val="ka-GE"/>
        </w:rPr>
      </w:pPr>
    </w:p>
    <w:p w:rsidR="00933471" w:rsidRPr="00F312C6" w:rsidRDefault="00933471" w:rsidP="00254BEE">
      <w:pPr>
        <w:pStyle w:val="BodyText"/>
        <w:tabs>
          <w:tab w:val="decimal" w:pos="90"/>
          <w:tab w:val="decimal" w:pos="2430"/>
        </w:tabs>
        <w:spacing w:before="48"/>
        <w:jc w:val="both"/>
        <w:rPr>
          <w:lang w:val="ka-GE"/>
        </w:rPr>
      </w:pPr>
    </w:p>
    <w:p w:rsidR="00933471" w:rsidRPr="00F312C6" w:rsidRDefault="00933471" w:rsidP="00254BEE">
      <w:pPr>
        <w:pStyle w:val="BodyText"/>
        <w:tabs>
          <w:tab w:val="decimal" w:pos="90"/>
          <w:tab w:val="decimal" w:pos="2430"/>
        </w:tabs>
        <w:spacing w:before="48"/>
        <w:jc w:val="both"/>
        <w:rPr>
          <w:lang w:val="ka-GE"/>
        </w:rPr>
      </w:pPr>
    </w:p>
    <w:p w:rsidR="00933471" w:rsidRPr="00F312C6" w:rsidRDefault="00933471" w:rsidP="00254BEE">
      <w:pPr>
        <w:pStyle w:val="BodyText"/>
        <w:tabs>
          <w:tab w:val="decimal" w:pos="90"/>
          <w:tab w:val="decimal" w:pos="2430"/>
        </w:tabs>
        <w:spacing w:before="48"/>
        <w:jc w:val="both"/>
        <w:rPr>
          <w:lang w:val="ka-GE"/>
        </w:rPr>
      </w:pPr>
    </w:p>
    <w:p w:rsidR="00D52933" w:rsidRPr="00F312C6" w:rsidRDefault="00D52933" w:rsidP="00254BEE">
      <w:pPr>
        <w:pStyle w:val="BodyText"/>
        <w:tabs>
          <w:tab w:val="decimal" w:pos="90"/>
          <w:tab w:val="decimal" w:pos="2430"/>
        </w:tabs>
        <w:spacing w:before="48"/>
        <w:jc w:val="both"/>
        <w:rPr>
          <w:lang w:val="ka-GE"/>
        </w:rPr>
      </w:pPr>
    </w:p>
    <w:p w:rsidR="00D52933" w:rsidRPr="00F312C6" w:rsidRDefault="00D52933" w:rsidP="00254BEE">
      <w:pPr>
        <w:pStyle w:val="BodyText"/>
        <w:tabs>
          <w:tab w:val="decimal" w:pos="90"/>
          <w:tab w:val="decimal" w:pos="2430"/>
        </w:tabs>
        <w:spacing w:before="48"/>
        <w:jc w:val="both"/>
        <w:rPr>
          <w:lang w:val="ka-GE"/>
        </w:rPr>
      </w:pPr>
    </w:p>
    <w:p w:rsidR="00D52933" w:rsidRPr="00F312C6" w:rsidRDefault="00D52933" w:rsidP="00254BEE">
      <w:pPr>
        <w:pStyle w:val="BodyText"/>
        <w:tabs>
          <w:tab w:val="decimal" w:pos="90"/>
          <w:tab w:val="decimal" w:pos="2430"/>
        </w:tabs>
        <w:spacing w:before="48"/>
        <w:jc w:val="both"/>
        <w:rPr>
          <w:lang w:val="ka-GE"/>
        </w:rPr>
      </w:pPr>
    </w:p>
    <w:p w:rsidR="00D52933" w:rsidRPr="00F312C6" w:rsidRDefault="00D52933" w:rsidP="00254BEE">
      <w:pPr>
        <w:pStyle w:val="BodyText"/>
        <w:tabs>
          <w:tab w:val="decimal" w:pos="90"/>
          <w:tab w:val="decimal" w:pos="2430"/>
        </w:tabs>
        <w:spacing w:before="48"/>
        <w:jc w:val="both"/>
        <w:rPr>
          <w:lang w:val="ka-GE"/>
        </w:rPr>
      </w:pPr>
    </w:p>
    <w:p w:rsidR="00D52933" w:rsidRPr="00F312C6" w:rsidRDefault="00D52933" w:rsidP="00254BEE">
      <w:pPr>
        <w:pStyle w:val="BodyText"/>
        <w:tabs>
          <w:tab w:val="decimal" w:pos="90"/>
          <w:tab w:val="decimal" w:pos="2430"/>
        </w:tabs>
        <w:spacing w:before="48"/>
        <w:jc w:val="both"/>
        <w:rPr>
          <w:lang w:val="ka-GE"/>
        </w:rPr>
      </w:pPr>
    </w:p>
    <w:p w:rsidR="00D52933" w:rsidRPr="00F312C6" w:rsidRDefault="00D52933" w:rsidP="00254BEE">
      <w:pPr>
        <w:pStyle w:val="BodyText"/>
        <w:tabs>
          <w:tab w:val="decimal" w:pos="90"/>
          <w:tab w:val="decimal" w:pos="2430"/>
        </w:tabs>
        <w:spacing w:before="48"/>
        <w:jc w:val="both"/>
        <w:rPr>
          <w:lang w:val="ka-GE"/>
        </w:rPr>
      </w:pPr>
    </w:p>
    <w:p w:rsidR="00D52933" w:rsidRPr="00F312C6" w:rsidRDefault="00D52933" w:rsidP="00254BEE">
      <w:pPr>
        <w:pStyle w:val="BodyText"/>
        <w:tabs>
          <w:tab w:val="decimal" w:pos="90"/>
          <w:tab w:val="decimal" w:pos="2430"/>
        </w:tabs>
        <w:spacing w:before="48"/>
        <w:jc w:val="both"/>
        <w:rPr>
          <w:lang w:val="ka-GE"/>
        </w:rPr>
      </w:pPr>
    </w:p>
    <w:p w:rsidR="00D52933" w:rsidRPr="00F312C6" w:rsidRDefault="00D52933" w:rsidP="00254BEE">
      <w:pPr>
        <w:pStyle w:val="BodyText"/>
        <w:tabs>
          <w:tab w:val="decimal" w:pos="90"/>
          <w:tab w:val="decimal" w:pos="2430"/>
        </w:tabs>
        <w:spacing w:before="48"/>
        <w:jc w:val="both"/>
        <w:rPr>
          <w:lang w:val="ka-GE"/>
        </w:rPr>
      </w:pPr>
    </w:p>
    <w:p w:rsidR="00D52933" w:rsidRPr="00F312C6" w:rsidRDefault="00D52933" w:rsidP="00254BEE">
      <w:pPr>
        <w:pStyle w:val="BodyText"/>
        <w:tabs>
          <w:tab w:val="decimal" w:pos="90"/>
          <w:tab w:val="decimal" w:pos="2430"/>
        </w:tabs>
        <w:spacing w:before="48"/>
        <w:jc w:val="both"/>
        <w:rPr>
          <w:lang w:val="ka-GE"/>
        </w:rPr>
      </w:pPr>
    </w:p>
    <w:p w:rsidR="00D52933" w:rsidRPr="00F312C6" w:rsidRDefault="00D52933" w:rsidP="00254BEE">
      <w:pPr>
        <w:pStyle w:val="BodyText"/>
        <w:tabs>
          <w:tab w:val="decimal" w:pos="90"/>
          <w:tab w:val="decimal" w:pos="2430"/>
        </w:tabs>
        <w:spacing w:before="48"/>
        <w:jc w:val="both"/>
        <w:rPr>
          <w:lang w:val="ka-GE"/>
        </w:rPr>
      </w:pPr>
    </w:p>
    <w:p w:rsidR="00D52933" w:rsidRPr="00F312C6" w:rsidRDefault="00D52933" w:rsidP="00254BEE">
      <w:pPr>
        <w:pStyle w:val="BodyText"/>
        <w:tabs>
          <w:tab w:val="decimal" w:pos="90"/>
          <w:tab w:val="decimal" w:pos="2430"/>
        </w:tabs>
        <w:spacing w:before="48"/>
        <w:jc w:val="both"/>
        <w:rPr>
          <w:lang w:val="ka-GE"/>
        </w:rPr>
      </w:pPr>
    </w:p>
    <w:p w:rsidR="00D52933" w:rsidRPr="00F312C6" w:rsidRDefault="00D52933" w:rsidP="00254BEE">
      <w:pPr>
        <w:pStyle w:val="BodyText"/>
        <w:tabs>
          <w:tab w:val="decimal" w:pos="90"/>
          <w:tab w:val="decimal" w:pos="2430"/>
        </w:tabs>
        <w:spacing w:before="48"/>
        <w:jc w:val="both"/>
        <w:rPr>
          <w:lang w:val="ka-GE"/>
        </w:rPr>
      </w:pPr>
    </w:p>
    <w:p w:rsidR="00D52933" w:rsidRPr="00F312C6" w:rsidRDefault="00D52933" w:rsidP="00254BEE">
      <w:pPr>
        <w:pStyle w:val="BodyText"/>
        <w:tabs>
          <w:tab w:val="decimal" w:pos="90"/>
          <w:tab w:val="decimal" w:pos="2430"/>
        </w:tabs>
        <w:spacing w:before="48"/>
        <w:jc w:val="both"/>
        <w:rPr>
          <w:lang w:val="ka-GE"/>
        </w:rPr>
      </w:pPr>
    </w:p>
    <w:p w:rsidR="00201B08" w:rsidRDefault="00EB52CE" w:rsidP="00254BEE">
      <w:pPr>
        <w:pStyle w:val="BodyText"/>
        <w:tabs>
          <w:tab w:val="decimal" w:pos="90"/>
          <w:tab w:val="decimal" w:pos="2430"/>
        </w:tabs>
        <w:spacing w:before="48"/>
        <w:jc w:val="both"/>
      </w:pPr>
      <w:r w:rsidRPr="00630D10">
        <w:rPr>
          <w:noProof/>
        </w:rPr>
        <mc:AlternateContent>
          <mc:Choice Requires="wps">
            <w:drawing>
              <wp:anchor distT="0" distB="0" distL="114300" distR="114300" simplePos="0" relativeHeight="251667456" behindDoc="0" locked="0" layoutInCell="1" allowOverlap="1" wp14:anchorId="4095562C" wp14:editId="3C17ABDA">
                <wp:simplePos x="0" y="0"/>
                <wp:positionH relativeFrom="page">
                  <wp:posOffset>3927911</wp:posOffset>
                </wp:positionH>
                <wp:positionV relativeFrom="paragraph">
                  <wp:posOffset>1093326</wp:posOffset>
                </wp:positionV>
                <wp:extent cx="6007735" cy="1654814"/>
                <wp:effectExtent l="4763" t="52387" r="16827" b="35878"/>
                <wp:wrapNone/>
                <wp:docPr id="12" name="Isosceles Triangle 320"/>
                <wp:cNvGraphicFramePr/>
                <a:graphic xmlns:a="http://schemas.openxmlformats.org/drawingml/2006/main">
                  <a:graphicData uri="http://schemas.microsoft.com/office/word/2010/wordprocessingShape">
                    <wps:wsp>
                      <wps:cNvSpPr/>
                      <wps:spPr>
                        <a:xfrm rot="16200000">
                          <a:off x="0" y="0"/>
                          <a:ext cx="6007735" cy="1654814"/>
                        </a:xfrm>
                        <a:prstGeom prst="triangle">
                          <a:avLst>
                            <a:gd name="adj" fmla="val 12466"/>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39D48C5" id="Isosceles Triangle 320" o:spid="_x0000_s1026" type="#_x0000_t5" style="position:absolute;margin-left:309.3pt;margin-top:86.1pt;width:473.05pt;height:130.3pt;rotation:-9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" adj="2693" fillcolor="#8496b0 [1951]" strokecolor="#1f4d78 [1604]" strokeweight="1pt">
                <w10:wrap anchorx="page"/>
              </v:shape>
            </w:pict>
          </mc:Fallback>
        </mc:AlternateContent>
      </w:r>
      <w:r w:rsidRPr="00630D10">
        <w:rPr>
          <w:noProof/>
        </w:rPr>
        <mc:AlternateContent>
          <mc:Choice Requires="wps">
            <w:drawing>
              <wp:anchor distT="0" distB="0" distL="114300" distR="114300" simplePos="0" relativeHeight="251669504" behindDoc="0" locked="0" layoutInCell="1" allowOverlap="1" wp14:anchorId="7328AA2D" wp14:editId="7A157455">
                <wp:simplePos x="0" y="0"/>
                <wp:positionH relativeFrom="page">
                  <wp:posOffset>6693694</wp:posOffset>
                </wp:positionH>
                <wp:positionV relativeFrom="paragraph">
                  <wp:posOffset>3110967</wp:posOffset>
                </wp:positionV>
                <wp:extent cx="471170" cy="1670392"/>
                <wp:effectExtent l="67310" t="27940" r="15240" b="15240"/>
                <wp:wrapNone/>
                <wp:docPr id="22" name="Isosceles Triangle 321"/>
                <wp:cNvGraphicFramePr/>
                <a:graphic xmlns:a="http://schemas.openxmlformats.org/drawingml/2006/main">
                  <a:graphicData uri="http://schemas.microsoft.com/office/word/2010/wordprocessingShape">
                    <wps:wsp>
                      <wps:cNvSpPr/>
                      <wps:spPr>
                        <a:xfrm rot="16200000">
                          <a:off x="0" y="0"/>
                          <a:ext cx="471170" cy="1670392"/>
                        </a:xfrm>
                        <a:prstGeom prst="triangle">
                          <a:avLst>
                            <a:gd name="adj" fmla="val 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0BA390C" id="Isosceles Triangle 321" o:spid="_x0000_s1026" type="#_x0000_t5" style="position:absolute;margin-left:527.05pt;margin-top:244.95pt;width:37.1pt;height:131.55pt;rotation:-9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" adj="0" fillcolor="white [3212]" strokecolor="#1f4d78 [1604]" strokeweight="1pt">
                <w10:wrap anchorx="page"/>
              </v:shape>
            </w:pict>
          </mc:Fallback>
        </mc:AlternateContent>
      </w:r>
      <w:r w:rsidRPr="00630D10">
        <w:rPr>
          <w:noProof/>
        </w:rPr>
        <mc:AlternateContent>
          <mc:Choice Requires="wps">
            <w:drawing>
              <wp:anchor distT="0" distB="0" distL="114300" distR="114300" simplePos="0" relativeHeight="251668480" behindDoc="0" locked="0" layoutInCell="1" allowOverlap="1" wp14:anchorId="241CE7FA" wp14:editId="03FC287B">
                <wp:simplePos x="0" y="0"/>
                <wp:positionH relativeFrom="page">
                  <wp:align>left</wp:align>
                </wp:positionH>
                <wp:positionV relativeFrom="paragraph">
                  <wp:posOffset>874846</wp:posOffset>
                </wp:positionV>
                <wp:extent cx="2263775" cy="6100002"/>
                <wp:effectExtent l="6033" t="13017" r="0" b="47308"/>
                <wp:wrapNone/>
                <wp:docPr id="16" name="Isosceles Triangle 318"/>
                <wp:cNvGraphicFramePr/>
                <a:graphic xmlns:a="http://schemas.openxmlformats.org/drawingml/2006/main">
                  <a:graphicData uri="http://schemas.microsoft.com/office/word/2010/wordprocessingShape">
                    <wps:wsp>
                      <wps:cNvSpPr/>
                      <wps:spPr>
                        <a:xfrm rot="5400000">
                          <a:off x="0" y="0"/>
                          <a:ext cx="2263775" cy="6100002"/>
                        </a:xfrm>
                        <a:prstGeom prst="triangle">
                          <a:avLst>
                            <a:gd name="adj" fmla="val 61236"/>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4A063A0A" id="Isosceles Triangle 318" o:spid="_x0000_s1026" type="#_x0000_t5" style="position:absolute;margin-left:0;margin-top:68.9pt;width:178.25pt;height:480.3pt;rotation:90;z-index:25166848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" adj="13227" fillcolor="#2e74b5 [2404]" strokecolor="#1f4d78 [1604]" strokeweight="1pt">
                <w10:wrap anchorx="page"/>
              </v:shape>
            </w:pict>
          </mc:Fallback>
        </mc:AlternateContent>
      </w:r>
      <w:r w:rsidR="00D84634" w:rsidRPr="00630D10">
        <w:rPr>
          <w:noProof/>
        </w:rPr>
        <mc:AlternateContent>
          <mc:Choice Requires="wps">
            <w:drawing>
              <wp:anchor distT="45720" distB="45720" distL="114300" distR="114300" simplePos="0" relativeHeight="251665408" behindDoc="0" locked="0" layoutInCell="1" allowOverlap="1" wp14:anchorId="7BA9B52C" wp14:editId="3898458E">
                <wp:simplePos x="0" y="0"/>
                <wp:positionH relativeFrom="page">
                  <wp:posOffset>3835582</wp:posOffset>
                </wp:positionH>
                <wp:positionV relativeFrom="paragraph">
                  <wp:posOffset>6885116</wp:posOffset>
                </wp:positionV>
                <wp:extent cx="3771265" cy="1341755"/>
                <wp:effectExtent l="0" t="0" r="0" b="63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265" cy="1341755"/>
                        </a:xfrm>
                        <a:prstGeom prst="rect">
                          <a:avLst/>
                        </a:prstGeom>
                        <a:noFill/>
                        <a:ln w="9525">
                          <a:noFill/>
                          <a:miter lim="800000"/>
                          <a:headEnd/>
                          <a:tailEnd/>
                        </a:ln>
                      </wps:spPr>
                      <wps:txbx>
                        <w:txbxContent>
                          <w:p w:rsidR="00E96ED8" w:rsidRDefault="00E96ED8" w:rsidP="00EB52CE">
                            <w:pPr>
                              <w:spacing w:line="276" w:lineRule="auto"/>
                              <w:rPr>
                                <w:b/>
                                <w:color w:val="1F4E79" w:themeColor="accent1" w:themeShade="80"/>
                                <w:lang w:val="ka-GE"/>
                              </w:rPr>
                            </w:pPr>
                            <w:r w:rsidRPr="00B201C0">
                              <w:rPr>
                                <w:b/>
                                <w:color w:val="1F4E79" w:themeColor="accent1" w:themeShade="80"/>
                                <w:lang w:val="ka-GE"/>
                              </w:rPr>
                              <w:t>ეკონომიკისა და მდგრადი განვითარების სამინისტრო</w:t>
                            </w:r>
                          </w:p>
                          <w:p w:rsidR="00E96ED8" w:rsidRDefault="00E96ED8" w:rsidP="00EB52CE">
                            <w:pPr>
                              <w:spacing w:line="276" w:lineRule="auto"/>
                              <w:rPr>
                                <w:rStyle w:val="Strong"/>
                                <w:color w:val="1F4E79" w:themeColor="accent1" w:themeShade="80"/>
                                <w:bdr w:val="none" w:sz="0" w:space="0" w:color="auto" w:frame="1"/>
                                <w:shd w:val="clear" w:color="auto" w:fill="FFFFFF"/>
                              </w:rPr>
                            </w:pPr>
                          </w:p>
                          <w:p w:rsidR="00E96ED8" w:rsidRPr="00D84634" w:rsidRDefault="00E96ED8" w:rsidP="00EB52CE">
                            <w:pPr>
                              <w:spacing w:line="276" w:lineRule="auto"/>
                              <w:rPr>
                                <w:color w:val="1F4E79" w:themeColor="accent1" w:themeShade="80"/>
                                <w:shd w:val="clear" w:color="auto" w:fill="FFFFFF"/>
                                <w:lang w:val="ka-GE"/>
                              </w:rPr>
                            </w:pPr>
                            <w:proofErr w:type="spellStart"/>
                            <w:proofErr w:type="gramStart"/>
                            <w:r w:rsidRPr="005372B6">
                              <w:rPr>
                                <w:rStyle w:val="Strong"/>
                                <w:color w:val="1F4E79" w:themeColor="accent1" w:themeShade="80"/>
                                <w:bdr w:val="none" w:sz="0" w:space="0" w:color="auto" w:frame="1"/>
                                <w:shd w:val="clear" w:color="auto" w:fill="FFFFFF"/>
                              </w:rPr>
                              <w:t>მისამართი</w:t>
                            </w:r>
                            <w:proofErr w:type="spellEnd"/>
                            <w:proofErr w:type="gramEnd"/>
                            <w:r w:rsidRPr="005372B6">
                              <w:rPr>
                                <w:rStyle w:val="Strong"/>
                                <w:color w:val="1F4E79" w:themeColor="accent1" w:themeShade="80"/>
                                <w:bdr w:val="none" w:sz="0" w:space="0" w:color="auto" w:frame="1"/>
                                <w:shd w:val="clear" w:color="auto" w:fill="FFFFFF"/>
                              </w:rPr>
                              <w:t>:</w:t>
                            </w:r>
                            <w:r w:rsidRPr="005372B6">
                              <w:rPr>
                                <w:rStyle w:val="apple-converted-space"/>
                                <w:b/>
                                <w:bCs/>
                                <w:color w:val="1F4E79" w:themeColor="accent1" w:themeShade="80"/>
                                <w:bdr w:val="none" w:sz="0" w:space="0" w:color="auto" w:frame="1"/>
                                <w:shd w:val="clear" w:color="auto" w:fill="FFFFFF"/>
                              </w:rPr>
                              <w:t> </w:t>
                            </w:r>
                            <w:r w:rsidRPr="005372B6">
                              <w:rPr>
                                <w:color w:val="1F4E79" w:themeColor="accent1" w:themeShade="80"/>
                                <w:shd w:val="clear" w:color="auto" w:fill="FFFFFF"/>
                              </w:rPr>
                              <w:t xml:space="preserve">0108 ქ, </w:t>
                            </w:r>
                            <w:proofErr w:type="spellStart"/>
                            <w:r w:rsidRPr="005372B6">
                              <w:rPr>
                                <w:color w:val="1F4E79" w:themeColor="accent1" w:themeShade="80"/>
                                <w:shd w:val="clear" w:color="auto" w:fill="FFFFFF"/>
                              </w:rPr>
                              <w:t>თბილისი</w:t>
                            </w:r>
                            <w:proofErr w:type="spellEnd"/>
                            <w:r w:rsidRPr="005372B6">
                              <w:rPr>
                                <w:color w:val="1F4E79" w:themeColor="accent1" w:themeShade="80"/>
                                <w:shd w:val="clear" w:color="auto" w:fill="FFFFFF"/>
                              </w:rPr>
                              <w:t xml:space="preserve">, </w:t>
                            </w:r>
                            <w:proofErr w:type="spellStart"/>
                            <w:r w:rsidRPr="005372B6">
                              <w:rPr>
                                <w:color w:val="1F4E79" w:themeColor="accent1" w:themeShade="80"/>
                                <w:shd w:val="clear" w:color="auto" w:fill="FFFFFF"/>
                              </w:rPr>
                              <w:t>ჭოველიძის</w:t>
                            </w:r>
                            <w:proofErr w:type="spellEnd"/>
                            <w:r w:rsidRPr="005372B6">
                              <w:rPr>
                                <w:color w:val="1F4E79" w:themeColor="accent1" w:themeShade="80"/>
                                <w:shd w:val="clear" w:color="auto" w:fill="FFFFFF"/>
                              </w:rPr>
                              <w:t xml:space="preserve"> ქ. №10</w:t>
                            </w:r>
                            <w:r w:rsidRPr="005372B6">
                              <w:rPr>
                                <w:color w:val="1F4E79" w:themeColor="accent1" w:themeShade="80"/>
                                <w:shd w:val="clear" w:color="auto" w:fill="FFFFFF"/>
                                <w:vertAlign w:val="superscript"/>
                              </w:rPr>
                              <w:t>ა</w:t>
                            </w:r>
                            <w:r w:rsidRPr="005372B6">
                              <w:rPr>
                                <w:color w:val="1F4E79" w:themeColor="accent1" w:themeShade="80"/>
                              </w:rPr>
                              <w:br/>
                            </w:r>
                            <w:proofErr w:type="spellStart"/>
                            <w:r w:rsidRPr="005372B6">
                              <w:rPr>
                                <w:rStyle w:val="Strong"/>
                                <w:color w:val="1F4E79" w:themeColor="accent1" w:themeShade="80"/>
                                <w:bdr w:val="none" w:sz="0" w:space="0" w:color="auto" w:frame="1"/>
                                <w:shd w:val="clear" w:color="auto" w:fill="FFFFFF"/>
                              </w:rPr>
                              <w:t>ტელეფონი</w:t>
                            </w:r>
                            <w:proofErr w:type="spellEnd"/>
                            <w:r>
                              <w:rPr>
                                <w:color w:val="1F4E79" w:themeColor="accent1" w:themeShade="80"/>
                                <w:shd w:val="clear" w:color="auto" w:fill="FFFFFF"/>
                              </w:rPr>
                              <w:t>: +</w:t>
                            </w:r>
                            <w:r w:rsidRPr="00840676">
                              <w:rPr>
                                <w:color w:val="1F4E79" w:themeColor="accent1" w:themeShade="80"/>
                                <w:shd w:val="clear" w:color="auto" w:fill="FFFFFF"/>
                              </w:rPr>
                              <w:t>(995 32</w:t>
                            </w:r>
                            <w:r>
                              <w:rPr>
                                <w:color w:val="1F4E79" w:themeColor="accent1" w:themeShade="80"/>
                                <w:shd w:val="clear" w:color="auto" w:fill="FFFFFF"/>
                              </w:rPr>
                              <w:t>) 2</w:t>
                            </w:r>
                            <w:r w:rsidRPr="00840676">
                              <w:rPr>
                                <w:color w:val="1F4E79" w:themeColor="accent1" w:themeShade="80"/>
                                <w:shd w:val="clear" w:color="auto" w:fill="FFFFFF"/>
                              </w:rPr>
                              <w:t xml:space="preserve"> </w:t>
                            </w:r>
                            <w:r>
                              <w:rPr>
                                <w:color w:val="1F4E79" w:themeColor="accent1" w:themeShade="80"/>
                                <w:shd w:val="clear" w:color="auto" w:fill="FFFFFF"/>
                              </w:rPr>
                              <w:t xml:space="preserve">99 11 14 </w:t>
                            </w:r>
                            <w:r w:rsidRPr="005372B6">
                              <w:rPr>
                                <w:color w:val="1F4E79" w:themeColor="accent1" w:themeShade="80"/>
                              </w:rPr>
                              <w:br/>
                            </w:r>
                            <w:proofErr w:type="spellStart"/>
                            <w:r w:rsidRPr="005372B6">
                              <w:rPr>
                                <w:rStyle w:val="Strong"/>
                                <w:color w:val="1F4E79" w:themeColor="accent1" w:themeShade="80"/>
                                <w:bdr w:val="none" w:sz="0" w:space="0" w:color="auto" w:frame="1"/>
                                <w:shd w:val="clear" w:color="auto" w:fill="FFFFFF"/>
                              </w:rPr>
                              <w:t>ელ.ფოსტა</w:t>
                            </w:r>
                            <w:proofErr w:type="spellEnd"/>
                            <w:r w:rsidRPr="005372B6">
                              <w:rPr>
                                <w:rStyle w:val="Strong"/>
                                <w:color w:val="1F4E79" w:themeColor="accent1" w:themeShade="80"/>
                                <w:bdr w:val="none" w:sz="0" w:space="0" w:color="auto" w:frame="1"/>
                                <w:shd w:val="clear" w:color="auto" w:fill="FFFFFF"/>
                              </w:rPr>
                              <w:t>:</w:t>
                            </w:r>
                            <w:r w:rsidRPr="005372B6">
                              <w:rPr>
                                <w:color w:val="1F4E79" w:themeColor="accent1" w:themeShade="80"/>
                                <w:shd w:val="clear" w:color="auto" w:fill="FFFFFF"/>
                              </w:rPr>
                              <w:t> </w:t>
                            </w:r>
                            <w:hyperlink r:id="rId19" w:history="1">
                              <w:r w:rsidRPr="007458CC">
                                <w:rPr>
                                  <w:rStyle w:val="Hyperlink"/>
                                  <w:shd w:val="clear" w:color="auto" w:fill="FFFFFF"/>
                                </w:rPr>
                                <w:t>vtsintsadze@moesd.gov.ge</w:t>
                              </w:r>
                            </w:hyperlink>
                            <w:r>
                              <w:rPr>
                                <w:color w:val="1F4E79" w:themeColor="accent1" w:themeShade="80"/>
                                <w:shd w:val="clear" w:color="auto" w:fill="FFFFFF"/>
                                <w:lang w:val="ka-GE"/>
                              </w:rPr>
                              <w:t xml:space="preserve">; </w:t>
                            </w:r>
                          </w:p>
                          <w:p w:rsidR="00E96ED8" w:rsidRDefault="00E96ED8" w:rsidP="00EB52CE">
                            <w:pPr>
                              <w:spacing w:line="276" w:lineRule="auto"/>
                              <w:rPr>
                                <w:color w:val="1F4E79" w:themeColor="accent1" w:themeShade="80"/>
                                <w:shd w:val="clear" w:color="auto" w:fill="FFFFFF"/>
                              </w:rPr>
                            </w:pPr>
                            <w:proofErr w:type="spellStart"/>
                            <w:r w:rsidRPr="005372B6">
                              <w:rPr>
                                <w:rStyle w:val="Strong"/>
                                <w:color w:val="1F4E79" w:themeColor="accent1" w:themeShade="80"/>
                                <w:bdr w:val="none" w:sz="0" w:space="0" w:color="auto" w:frame="1"/>
                                <w:shd w:val="clear" w:color="auto" w:fill="FFFFFF"/>
                              </w:rPr>
                              <w:t>ელ.ფოსტა</w:t>
                            </w:r>
                            <w:proofErr w:type="spellEnd"/>
                            <w:r w:rsidRPr="005372B6">
                              <w:rPr>
                                <w:rStyle w:val="Strong"/>
                                <w:color w:val="1F4E79" w:themeColor="accent1" w:themeShade="80"/>
                                <w:bdr w:val="none" w:sz="0" w:space="0" w:color="auto" w:frame="1"/>
                                <w:shd w:val="clear" w:color="auto" w:fill="FFFFFF"/>
                              </w:rPr>
                              <w:t>:</w:t>
                            </w:r>
                            <w:r w:rsidRPr="005372B6">
                              <w:rPr>
                                <w:color w:val="1F4E79" w:themeColor="accent1" w:themeShade="80"/>
                                <w:shd w:val="clear" w:color="auto" w:fill="FFFFFF"/>
                              </w:rPr>
                              <w:t> </w:t>
                            </w:r>
                            <w:r w:rsidRPr="00D84634">
                              <w:rPr>
                                <w:rStyle w:val="Hyperlink"/>
                              </w:rPr>
                              <w:t>k.chapidze@moesd.gov.ge</w:t>
                            </w:r>
                            <w:r>
                              <w:rPr>
                                <w:rStyle w:val="Hyperlink"/>
                              </w:rPr>
                              <w:t>;</w:t>
                            </w:r>
                          </w:p>
                          <w:p w:rsidR="00E96ED8" w:rsidRPr="00EA35A6" w:rsidRDefault="00E96ED8" w:rsidP="00EB52CE">
                            <w:pPr>
                              <w:spacing w:line="276" w:lineRule="auto"/>
                              <w:rPr>
                                <w:b/>
                                <w:color w:val="1F4E79" w:themeColor="accent1" w:themeShade="80"/>
                              </w:rPr>
                            </w:pPr>
                          </w:p>
                          <w:p w:rsidR="00E96ED8" w:rsidRDefault="00E96ED8" w:rsidP="00EB52CE">
                            <w:pPr>
                              <w:jc w:val="right"/>
                              <w:rPr>
                                <w:b/>
                                <w:color w:val="1F4E79" w:themeColor="accent1" w:themeShade="80"/>
                                <w:lang w:val="ka-GE"/>
                              </w:rPr>
                            </w:pPr>
                          </w:p>
                          <w:p w:rsidR="00E96ED8" w:rsidRDefault="00E96ED8" w:rsidP="00EB52CE">
                            <w:pPr>
                              <w:jc w:val="right"/>
                              <w:rPr>
                                <w:b/>
                                <w:color w:val="1F4E79" w:themeColor="accent1" w:themeShade="80"/>
                                <w:lang w:val="ka-GE"/>
                              </w:rPr>
                            </w:pPr>
                          </w:p>
                          <w:p w:rsidR="00E96ED8" w:rsidRDefault="00E96ED8" w:rsidP="00EB52CE">
                            <w:pPr>
                              <w:jc w:val="right"/>
                              <w:rPr>
                                <w:b/>
                                <w:color w:val="1F4E79" w:themeColor="accent1" w:themeShade="80"/>
                                <w:lang w:val="ka-GE"/>
                              </w:rPr>
                            </w:pPr>
                          </w:p>
                          <w:p w:rsidR="00E96ED8" w:rsidRPr="00B201C0" w:rsidRDefault="00E96ED8" w:rsidP="00EB52CE">
                            <w:pPr>
                              <w:jc w:val="center"/>
                              <w:rPr>
                                <w:b/>
                                <w:color w:val="1F4E79" w:themeColor="accent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9B52C" id="_x0000_s1028" type="#_x0000_t202" style="position:absolute;left:0;text-align:left;margin-left:302pt;margin-top:542.15pt;width:296.95pt;height:105.6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" filled="f" stroked="f">
                <v:textbox>
                  <w:txbxContent>
                    <w:p w:rsidR="00E96ED8" w:rsidRDefault="00E96ED8" w:rsidP="00EB52CE">
                      <w:pPr>
                        <w:spacing w:line="276" w:lineRule="auto"/>
                        <w:rPr>
                          <w:b/>
                          <w:color w:val="1F4E79" w:themeColor="accent1" w:themeShade="80"/>
                          <w:lang w:val="ka-GE"/>
                        </w:rPr>
                      </w:pPr>
                      <w:r w:rsidRPr="00B201C0">
                        <w:rPr>
                          <w:b/>
                          <w:color w:val="1F4E79" w:themeColor="accent1" w:themeShade="80"/>
                          <w:lang w:val="ka-GE"/>
                        </w:rPr>
                        <w:t>ეკონომიკისა და მდგრადი განვითარების სამინისტრო</w:t>
                      </w:r>
                    </w:p>
                    <w:p w:rsidR="00E96ED8" w:rsidRDefault="00E96ED8" w:rsidP="00EB52CE">
                      <w:pPr>
                        <w:spacing w:line="276" w:lineRule="auto"/>
                        <w:rPr>
                          <w:rStyle w:val="Strong"/>
                          <w:color w:val="1F4E79" w:themeColor="accent1" w:themeShade="80"/>
                          <w:bdr w:val="none" w:sz="0" w:space="0" w:color="auto" w:frame="1"/>
                          <w:shd w:val="clear" w:color="auto" w:fill="FFFFFF"/>
                        </w:rPr>
                      </w:pPr>
                    </w:p>
                    <w:p w:rsidR="00E96ED8" w:rsidRPr="00D84634" w:rsidRDefault="00E96ED8" w:rsidP="00EB52CE">
                      <w:pPr>
                        <w:spacing w:line="276" w:lineRule="auto"/>
                        <w:rPr>
                          <w:color w:val="1F4E79" w:themeColor="accent1" w:themeShade="80"/>
                          <w:shd w:val="clear" w:color="auto" w:fill="FFFFFF"/>
                          <w:lang w:val="ka-GE"/>
                        </w:rPr>
                      </w:pPr>
                      <w:proofErr w:type="spellStart"/>
                      <w:proofErr w:type="gramStart"/>
                      <w:r w:rsidRPr="005372B6">
                        <w:rPr>
                          <w:rStyle w:val="Strong"/>
                          <w:color w:val="1F4E79" w:themeColor="accent1" w:themeShade="80"/>
                          <w:bdr w:val="none" w:sz="0" w:space="0" w:color="auto" w:frame="1"/>
                          <w:shd w:val="clear" w:color="auto" w:fill="FFFFFF"/>
                        </w:rPr>
                        <w:t>მისამართი</w:t>
                      </w:r>
                      <w:proofErr w:type="spellEnd"/>
                      <w:proofErr w:type="gramEnd"/>
                      <w:r w:rsidRPr="005372B6">
                        <w:rPr>
                          <w:rStyle w:val="Strong"/>
                          <w:color w:val="1F4E79" w:themeColor="accent1" w:themeShade="80"/>
                          <w:bdr w:val="none" w:sz="0" w:space="0" w:color="auto" w:frame="1"/>
                          <w:shd w:val="clear" w:color="auto" w:fill="FFFFFF"/>
                        </w:rPr>
                        <w:t>:</w:t>
                      </w:r>
                      <w:r w:rsidRPr="005372B6">
                        <w:rPr>
                          <w:rStyle w:val="apple-converted-space"/>
                          <w:b/>
                          <w:bCs/>
                          <w:color w:val="1F4E79" w:themeColor="accent1" w:themeShade="80"/>
                          <w:bdr w:val="none" w:sz="0" w:space="0" w:color="auto" w:frame="1"/>
                          <w:shd w:val="clear" w:color="auto" w:fill="FFFFFF"/>
                        </w:rPr>
                        <w:t> </w:t>
                      </w:r>
                      <w:r w:rsidRPr="005372B6">
                        <w:rPr>
                          <w:color w:val="1F4E79" w:themeColor="accent1" w:themeShade="80"/>
                          <w:shd w:val="clear" w:color="auto" w:fill="FFFFFF"/>
                        </w:rPr>
                        <w:t xml:space="preserve">0108 ქ, </w:t>
                      </w:r>
                      <w:proofErr w:type="spellStart"/>
                      <w:r w:rsidRPr="005372B6">
                        <w:rPr>
                          <w:color w:val="1F4E79" w:themeColor="accent1" w:themeShade="80"/>
                          <w:shd w:val="clear" w:color="auto" w:fill="FFFFFF"/>
                        </w:rPr>
                        <w:t>თბილისი</w:t>
                      </w:r>
                      <w:proofErr w:type="spellEnd"/>
                      <w:r w:rsidRPr="005372B6">
                        <w:rPr>
                          <w:color w:val="1F4E79" w:themeColor="accent1" w:themeShade="80"/>
                          <w:shd w:val="clear" w:color="auto" w:fill="FFFFFF"/>
                        </w:rPr>
                        <w:t xml:space="preserve">, </w:t>
                      </w:r>
                      <w:proofErr w:type="spellStart"/>
                      <w:r w:rsidRPr="005372B6">
                        <w:rPr>
                          <w:color w:val="1F4E79" w:themeColor="accent1" w:themeShade="80"/>
                          <w:shd w:val="clear" w:color="auto" w:fill="FFFFFF"/>
                        </w:rPr>
                        <w:t>ჭოველიძის</w:t>
                      </w:r>
                      <w:proofErr w:type="spellEnd"/>
                      <w:r w:rsidRPr="005372B6">
                        <w:rPr>
                          <w:color w:val="1F4E79" w:themeColor="accent1" w:themeShade="80"/>
                          <w:shd w:val="clear" w:color="auto" w:fill="FFFFFF"/>
                        </w:rPr>
                        <w:t xml:space="preserve"> ქ. №10</w:t>
                      </w:r>
                      <w:r w:rsidRPr="005372B6">
                        <w:rPr>
                          <w:color w:val="1F4E79" w:themeColor="accent1" w:themeShade="80"/>
                          <w:shd w:val="clear" w:color="auto" w:fill="FFFFFF"/>
                          <w:vertAlign w:val="superscript"/>
                        </w:rPr>
                        <w:t>ა</w:t>
                      </w:r>
                      <w:r w:rsidRPr="005372B6">
                        <w:rPr>
                          <w:color w:val="1F4E79" w:themeColor="accent1" w:themeShade="80"/>
                        </w:rPr>
                        <w:br/>
                      </w:r>
                      <w:proofErr w:type="spellStart"/>
                      <w:r w:rsidRPr="005372B6">
                        <w:rPr>
                          <w:rStyle w:val="Strong"/>
                          <w:color w:val="1F4E79" w:themeColor="accent1" w:themeShade="80"/>
                          <w:bdr w:val="none" w:sz="0" w:space="0" w:color="auto" w:frame="1"/>
                          <w:shd w:val="clear" w:color="auto" w:fill="FFFFFF"/>
                        </w:rPr>
                        <w:t>ტელეფონი</w:t>
                      </w:r>
                      <w:proofErr w:type="spellEnd"/>
                      <w:r>
                        <w:rPr>
                          <w:color w:val="1F4E79" w:themeColor="accent1" w:themeShade="80"/>
                          <w:shd w:val="clear" w:color="auto" w:fill="FFFFFF"/>
                        </w:rPr>
                        <w:t>: +</w:t>
                      </w:r>
                      <w:r w:rsidRPr="00840676">
                        <w:rPr>
                          <w:color w:val="1F4E79" w:themeColor="accent1" w:themeShade="80"/>
                          <w:shd w:val="clear" w:color="auto" w:fill="FFFFFF"/>
                        </w:rPr>
                        <w:t>(995 32</w:t>
                      </w:r>
                      <w:r>
                        <w:rPr>
                          <w:color w:val="1F4E79" w:themeColor="accent1" w:themeShade="80"/>
                          <w:shd w:val="clear" w:color="auto" w:fill="FFFFFF"/>
                        </w:rPr>
                        <w:t>) 2</w:t>
                      </w:r>
                      <w:r w:rsidRPr="00840676">
                        <w:rPr>
                          <w:color w:val="1F4E79" w:themeColor="accent1" w:themeShade="80"/>
                          <w:shd w:val="clear" w:color="auto" w:fill="FFFFFF"/>
                        </w:rPr>
                        <w:t xml:space="preserve"> </w:t>
                      </w:r>
                      <w:r>
                        <w:rPr>
                          <w:color w:val="1F4E79" w:themeColor="accent1" w:themeShade="80"/>
                          <w:shd w:val="clear" w:color="auto" w:fill="FFFFFF"/>
                        </w:rPr>
                        <w:t xml:space="preserve">99 11 14 </w:t>
                      </w:r>
                      <w:r w:rsidRPr="005372B6">
                        <w:rPr>
                          <w:color w:val="1F4E79" w:themeColor="accent1" w:themeShade="80"/>
                        </w:rPr>
                        <w:br/>
                      </w:r>
                      <w:proofErr w:type="spellStart"/>
                      <w:r w:rsidRPr="005372B6">
                        <w:rPr>
                          <w:rStyle w:val="Strong"/>
                          <w:color w:val="1F4E79" w:themeColor="accent1" w:themeShade="80"/>
                          <w:bdr w:val="none" w:sz="0" w:space="0" w:color="auto" w:frame="1"/>
                          <w:shd w:val="clear" w:color="auto" w:fill="FFFFFF"/>
                        </w:rPr>
                        <w:t>ელ.ფოსტა</w:t>
                      </w:r>
                      <w:proofErr w:type="spellEnd"/>
                      <w:r w:rsidRPr="005372B6">
                        <w:rPr>
                          <w:rStyle w:val="Strong"/>
                          <w:color w:val="1F4E79" w:themeColor="accent1" w:themeShade="80"/>
                          <w:bdr w:val="none" w:sz="0" w:space="0" w:color="auto" w:frame="1"/>
                          <w:shd w:val="clear" w:color="auto" w:fill="FFFFFF"/>
                        </w:rPr>
                        <w:t>:</w:t>
                      </w:r>
                      <w:r w:rsidRPr="005372B6">
                        <w:rPr>
                          <w:color w:val="1F4E79" w:themeColor="accent1" w:themeShade="80"/>
                          <w:shd w:val="clear" w:color="auto" w:fill="FFFFFF"/>
                        </w:rPr>
                        <w:t> </w:t>
                      </w:r>
                      <w:hyperlink r:id="rId20" w:history="1">
                        <w:r w:rsidRPr="007458CC">
                          <w:rPr>
                            <w:rStyle w:val="Hyperlink"/>
                            <w:shd w:val="clear" w:color="auto" w:fill="FFFFFF"/>
                          </w:rPr>
                          <w:t>vtsintsadze@moesd.gov.ge</w:t>
                        </w:r>
                      </w:hyperlink>
                      <w:r>
                        <w:rPr>
                          <w:color w:val="1F4E79" w:themeColor="accent1" w:themeShade="80"/>
                          <w:shd w:val="clear" w:color="auto" w:fill="FFFFFF"/>
                          <w:lang w:val="ka-GE"/>
                        </w:rPr>
                        <w:t xml:space="preserve">; </w:t>
                      </w:r>
                    </w:p>
                    <w:p w:rsidR="00E96ED8" w:rsidRDefault="00E96ED8" w:rsidP="00EB52CE">
                      <w:pPr>
                        <w:spacing w:line="276" w:lineRule="auto"/>
                        <w:rPr>
                          <w:color w:val="1F4E79" w:themeColor="accent1" w:themeShade="80"/>
                          <w:shd w:val="clear" w:color="auto" w:fill="FFFFFF"/>
                        </w:rPr>
                      </w:pPr>
                      <w:proofErr w:type="spellStart"/>
                      <w:r w:rsidRPr="005372B6">
                        <w:rPr>
                          <w:rStyle w:val="Strong"/>
                          <w:color w:val="1F4E79" w:themeColor="accent1" w:themeShade="80"/>
                          <w:bdr w:val="none" w:sz="0" w:space="0" w:color="auto" w:frame="1"/>
                          <w:shd w:val="clear" w:color="auto" w:fill="FFFFFF"/>
                        </w:rPr>
                        <w:t>ელ.ფოსტა</w:t>
                      </w:r>
                      <w:proofErr w:type="spellEnd"/>
                      <w:r w:rsidRPr="005372B6">
                        <w:rPr>
                          <w:rStyle w:val="Strong"/>
                          <w:color w:val="1F4E79" w:themeColor="accent1" w:themeShade="80"/>
                          <w:bdr w:val="none" w:sz="0" w:space="0" w:color="auto" w:frame="1"/>
                          <w:shd w:val="clear" w:color="auto" w:fill="FFFFFF"/>
                        </w:rPr>
                        <w:t>:</w:t>
                      </w:r>
                      <w:r w:rsidRPr="005372B6">
                        <w:rPr>
                          <w:color w:val="1F4E79" w:themeColor="accent1" w:themeShade="80"/>
                          <w:shd w:val="clear" w:color="auto" w:fill="FFFFFF"/>
                        </w:rPr>
                        <w:t> </w:t>
                      </w:r>
                      <w:r w:rsidRPr="00D84634">
                        <w:rPr>
                          <w:rStyle w:val="Hyperlink"/>
                        </w:rPr>
                        <w:t>k.chapidze@moesd.gov.ge</w:t>
                      </w:r>
                      <w:r>
                        <w:rPr>
                          <w:rStyle w:val="Hyperlink"/>
                        </w:rPr>
                        <w:t>;</w:t>
                      </w:r>
                    </w:p>
                    <w:p w:rsidR="00E96ED8" w:rsidRPr="00EA35A6" w:rsidRDefault="00E96ED8" w:rsidP="00EB52CE">
                      <w:pPr>
                        <w:spacing w:line="276" w:lineRule="auto"/>
                        <w:rPr>
                          <w:b/>
                          <w:color w:val="1F4E79" w:themeColor="accent1" w:themeShade="80"/>
                        </w:rPr>
                      </w:pPr>
                    </w:p>
                    <w:p w:rsidR="00E96ED8" w:rsidRDefault="00E96ED8" w:rsidP="00EB52CE">
                      <w:pPr>
                        <w:jc w:val="right"/>
                        <w:rPr>
                          <w:b/>
                          <w:color w:val="1F4E79" w:themeColor="accent1" w:themeShade="80"/>
                          <w:lang w:val="ka-GE"/>
                        </w:rPr>
                      </w:pPr>
                    </w:p>
                    <w:p w:rsidR="00E96ED8" w:rsidRDefault="00E96ED8" w:rsidP="00EB52CE">
                      <w:pPr>
                        <w:jc w:val="right"/>
                        <w:rPr>
                          <w:b/>
                          <w:color w:val="1F4E79" w:themeColor="accent1" w:themeShade="80"/>
                          <w:lang w:val="ka-GE"/>
                        </w:rPr>
                      </w:pPr>
                    </w:p>
                    <w:p w:rsidR="00E96ED8" w:rsidRDefault="00E96ED8" w:rsidP="00EB52CE">
                      <w:pPr>
                        <w:jc w:val="right"/>
                        <w:rPr>
                          <w:b/>
                          <w:color w:val="1F4E79" w:themeColor="accent1" w:themeShade="80"/>
                          <w:lang w:val="ka-GE"/>
                        </w:rPr>
                      </w:pPr>
                    </w:p>
                    <w:p w:rsidR="00E96ED8" w:rsidRPr="00B201C0" w:rsidRDefault="00E96ED8" w:rsidP="00EB52CE">
                      <w:pPr>
                        <w:jc w:val="center"/>
                        <w:rPr>
                          <w:b/>
                          <w:color w:val="1F4E79" w:themeColor="accent1" w:themeShade="80"/>
                        </w:rPr>
                      </w:pPr>
                    </w:p>
                  </w:txbxContent>
                </v:textbox>
                <w10:wrap type="square" anchorx="page"/>
              </v:shape>
            </w:pict>
          </mc:Fallback>
        </mc:AlternateContent>
      </w:r>
      <w:r w:rsidRPr="00630D10">
        <w:rPr>
          <w:noProof/>
        </w:rPr>
        <w:drawing>
          <wp:anchor distT="0" distB="0" distL="114300" distR="114300" simplePos="0" relativeHeight="251666432" behindDoc="0" locked="0" layoutInCell="1" allowOverlap="1" wp14:anchorId="44B13A11" wp14:editId="5E0D8414">
            <wp:simplePos x="0" y="0"/>
            <wp:positionH relativeFrom="margin">
              <wp:align>left</wp:align>
            </wp:positionH>
            <wp:positionV relativeFrom="margin">
              <wp:align>bottom</wp:align>
            </wp:positionV>
            <wp:extent cx="1448435" cy="1332865"/>
            <wp:effectExtent l="0" t="0" r="0" b="635"/>
            <wp:wrapSquare wrapText="bothSides"/>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48435" cy="1332865"/>
                    </a:xfrm>
                    <a:prstGeom prst="rect">
                      <a:avLst/>
                    </a:prstGeom>
                  </pic:spPr>
                </pic:pic>
              </a:graphicData>
            </a:graphic>
            <wp14:sizeRelH relativeFrom="margin">
              <wp14:pctWidth>0</wp14:pctWidth>
            </wp14:sizeRelH>
            <wp14:sizeRelV relativeFrom="margin">
              <wp14:pctHeight>0</wp14:pctHeight>
            </wp14:sizeRelV>
          </wp:anchor>
        </w:drawing>
      </w:r>
    </w:p>
    <w:sectPr w:rsidR="00201B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BBA" w:rsidRDefault="00E75BBA" w:rsidP="00EB52CE">
      <w:r>
        <w:separator/>
      </w:r>
    </w:p>
  </w:endnote>
  <w:endnote w:type="continuationSeparator" w:id="0">
    <w:p w:rsidR="00E75BBA" w:rsidRDefault="00E75BBA" w:rsidP="00EB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BBA" w:rsidRDefault="00E75BBA" w:rsidP="00EB52CE">
      <w:r>
        <w:separator/>
      </w:r>
    </w:p>
  </w:footnote>
  <w:footnote w:type="continuationSeparator" w:id="0">
    <w:p w:rsidR="00E75BBA" w:rsidRDefault="00E75BBA" w:rsidP="00EB52CE">
      <w:r>
        <w:continuationSeparator/>
      </w:r>
    </w:p>
  </w:footnote>
  <w:footnote w:id="1">
    <w:p w:rsidR="00E96ED8" w:rsidRPr="001E60CB" w:rsidRDefault="00E96ED8" w:rsidP="00EB52CE">
      <w:pPr>
        <w:pStyle w:val="FootnoteText"/>
        <w:jc w:val="both"/>
        <w:rPr>
          <w:rFonts w:ascii="Sylfaen" w:hAnsi="Sylfaen"/>
        </w:rPr>
      </w:pPr>
      <w:r>
        <w:rPr>
          <w:rStyle w:val="FootnoteReference"/>
        </w:rPr>
        <w:footnoteRef/>
      </w:r>
      <w:r>
        <w:t xml:space="preserve"> </w:t>
      </w:r>
      <w:proofErr w:type="spellStart"/>
      <w:proofErr w:type="gramStart"/>
      <w:r w:rsidRPr="00B91405">
        <w:rPr>
          <w:rFonts w:ascii="Sylfaen" w:hAnsi="Sylfaen" w:cs="Sylfaen"/>
          <w:i/>
          <w:iCs/>
          <w:sz w:val="16"/>
          <w:szCs w:val="16"/>
        </w:rPr>
        <w:t>გრაფიკზე</w:t>
      </w:r>
      <w:proofErr w:type="spellEnd"/>
      <w:proofErr w:type="gramEnd"/>
      <w:r w:rsidRPr="00B91405">
        <w:rPr>
          <w:rFonts w:ascii="Sylfaen" w:hAnsi="Sylfaen" w:cs="Sylfaen"/>
          <w:i/>
          <w:iCs/>
          <w:sz w:val="16"/>
          <w:szCs w:val="16"/>
        </w:rPr>
        <w:t xml:space="preserve"> </w:t>
      </w:r>
      <w:proofErr w:type="spellStart"/>
      <w:r w:rsidRPr="00B91405">
        <w:rPr>
          <w:rFonts w:ascii="Sylfaen" w:hAnsi="Sylfaen" w:cs="Sylfaen"/>
          <w:i/>
          <w:iCs/>
          <w:sz w:val="16"/>
          <w:szCs w:val="16"/>
        </w:rPr>
        <w:t>მოცემული</w:t>
      </w:r>
      <w:proofErr w:type="spellEnd"/>
      <w:r w:rsidRPr="00B91405">
        <w:rPr>
          <w:rFonts w:ascii="Sylfaen" w:hAnsi="Sylfaen" w:cs="Sylfaen"/>
          <w:i/>
          <w:iCs/>
          <w:sz w:val="16"/>
          <w:szCs w:val="16"/>
        </w:rPr>
        <w:t xml:space="preserve"> </w:t>
      </w:r>
      <w:proofErr w:type="spellStart"/>
      <w:r w:rsidRPr="00B91405">
        <w:rPr>
          <w:rFonts w:ascii="Sylfaen" w:hAnsi="Sylfaen" w:cs="Sylfaen"/>
          <w:i/>
          <w:iCs/>
          <w:sz w:val="16"/>
          <w:szCs w:val="16"/>
        </w:rPr>
        <w:t>მონაცემები</w:t>
      </w:r>
      <w:proofErr w:type="spellEnd"/>
      <w:r w:rsidRPr="00B91405">
        <w:rPr>
          <w:rFonts w:ascii="Sylfaen" w:hAnsi="Sylfaen" w:cs="Sylfaen"/>
          <w:i/>
          <w:iCs/>
          <w:sz w:val="16"/>
          <w:szCs w:val="16"/>
        </w:rPr>
        <w:t xml:space="preserve"> </w:t>
      </w:r>
      <w:proofErr w:type="spellStart"/>
      <w:r>
        <w:rPr>
          <w:rFonts w:ascii="Sylfaen" w:hAnsi="Sylfaen" w:cs="Sylfaen"/>
          <w:i/>
          <w:iCs/>
          <w:sz w:val="16"/>
          <w:szCs w:val="16"/>
          <w:lang w:val="ka-GE"/>
        </w:rPr>
        <w:t>ეყრნობა</w:t>
      </w:r>
      <w:proofErr w:type="spellEnd"/>
      <w:r>
        <w:rPr>
          <w:rFonts w:ascii="Sylfaen" w:hAnsi="Sylfaen" w:cs="Sylfaen"/>
          <w:i/>
          <w:iCs/>
          <w:sz w:val="16"/>
          <w:szCs w:val="16"/>
          <w:lang w:val="ka-GE"/>
        </w:rPr>
        <w:t xml:space="preserve"> უახლეს პრეს-</w:t>
      </w:r>
      <w:proofErr w:type="spellStart"/>
      <w:r>
        <w:rPr>
          <w:rFonts w:ascii="Sylfaen" w:hAnsi="Sylfaen" w:cs="Sylfaen"/>
          <w:i/>
          <w:iCs/>
          <w:sz w:val="16"/>
          <w:szCs w:val="16"/>
          <w:lang w:val="ka-GE"/>
        </w:rPr>
        <w:t>რელიზებსა</w:t>
      </w:r>
      <w:proofErr w:type="spellEnd"/>
      <w:r>
        <w:rPr>
          <w:rFonts w:ascii="Sylfaen" w:hAnsi="Sylfaen" w:cs="Sylfaen"/>
          <w:i/>
          <w:iCs/>
          <w:sz w:val="16"/>
          <w:szCs w:val="16"/>
          <w:lang w:val="ka-GE"/>
        </w:rPr>
        <w:t xml:space="preserve">  და ანგარიშებს. აღსანიშნავია, რომ მისიის ბოლო ვიზიტის შემდეგ ფონდმა გადახედა პროგნოზს ზრდის მიმართულებით. ახალი მაჩვენებელი უახლოეს მომავალში გამოქვეყნდება.</w:t>
      </w:r>
    </w:p>
  </w:footnote>
  <w:footnote w:id="2">
    <w:p w:rsidR="00E96ED8" w:rsidRDefault="00E96ED8" w:rsidP="00EB52CE">
      <w:pPr>
        <w:pStyle w:val="FootnoteText"/>
        <w:rPr>
          <w:rFonts w:ascii="Sylfaen" w:hAnsi="Sylfaen" w:cs="Sylfaen"/>
          <w:i/>
          <w:iCs/>
          <w:sz w:val="16"/>
          <w:szCs w:val="16"/>
        </w:rPr>
      </w:pPr>
      <w:r>
        <w:rPr>
          <w:rStyle w:val="FootnoteReference"/>
        </w:rPr>
        <w:footnoteRef/>
      </w:r>
      <w:r>
        <w:t xml:space="preserve"> </w:t>
      </w:r>
      <w:proofErr w:type="spellStart"/>
      <w:r w:rsidRPr="00896275">
        <w:rPr>
          <w:rFonts w:ascii="Sylfaen" w:hAnsi="Sylfaen" w:cs="Sylfaen"/>
          <w:i/>
          <w:iCs/>
          <w:sz w:val="16"/>
          <w:szCs w:val="16"/>
        </w:rPr>
        <w:t>მთლიანი</w:t>
      </w:r>
      <w:proofErr w:type="spellEnd"/>
      <w:r w:rsidRPr="00896275">
        <w:rPr>
          <w:rFonts w:ascii="Sylfaen" w:hAnsi="Sylfaen" w:cs="Sylfaen"/>
          <w:i/>
          <w:iCs/>
          <w:sz w:val="16"/>
          <w:szCs w:val="16"/>
        </w:rPr>
        <w:t xml:space="preserve"> </w:t>
      </w:r>
      <w:proofErr w:type="spellStart"/>
      <w:r w:rsidRPr="00896275">
        <w:rPr>
          <w:rFonts w:ascii="Sylfaen" w:hAnsi="Sylfaen" w:cs="Sylfaen"/>
          <w:i/>
          <w:iCs/>
          <w:sz w:val="16"/>
          <w:szCs w:val="16"/>
        </w:rPr>
        <w:t>შიდა</w:t>
      </w:r>
      <w:proofErr w:type="spellEnd"/>
      <w:r w:rsidRPr="00896275">
        <w:rPr>
          <w:rFonts w:ascii="Sylfaen" w:hAnsi="Sylfaen" w:cs="Sylfaen"/>
          <w:i/>
          <w:iCs/>
          <w:sz w:val="16"/>
          <w:szCs w:val="16"/>
        </w:rPr>
        <w:t xml:space="preserve"> </w:t>
      </w:r>
      <w:proofErr w:type="spellStart"/>
      <w:r w:rsidRPr="00896275">
        <w:rPr>
          <w:rFonts w:ascii="Sylfaen" w:hAnsi="Sylfaen" w:cs="Sylfaen"/>
          <w:i/>
          <w:iCs/>
          <w:sz w:val="16"/>
          <w:szCs w:val="16"/>
        </w:rPr>
        <w:t>პროდუქტის</w:t>
      </w:r>
      <w:proofErr w:type="spellEnd"/>
      <w:r w:rsidRPr="00896275">
        <w:rPr>
          <w:rFonts w:ascii="Sylfaen" w:hAnsi="Sylfaen" w:cs="Sylfaen"/>
          <w:i/>
          <w:iCs/>
          <w:sz w:val="16"/>
          <w:szCs w:val="16"/>
        </w:rPr>
        <w:t xml:space="preserve"> </w:t>
      </w:r>
      <w:proofErr w:type="spellStart"/>
      <w:r w:rsidRPr="00896275">
        <w:rPr>
          <w:rFonts w:ascii="Sylfaen" w:hAnsi="Sylfaen" w:cs="Sylfaen"/>
          <w:i/>
          <w:iCs/>
          <w:sz w:val="16"/>
          <w:szCs w:val="16"/>
        </w:rPr>
        <w:t>გეფი</w:t>
      </w:r>
      <w:proofErr w:type="spellEnd"/>
      <w:r w:rsidRPr="00896275">
        <w:rPr>
          <w:rFonts w:ascii="Sylfaen" w:hAnsi="Sylfaen" w:cs="Sylfaen"/>
          <w:i/>
          <w:iCs/>
          <w:sz w:val="16"/>
          <w:szCs w:val="16"/>
        </w:rPr>
        <w:t xml:space="preserve"> </w:t>
      </w:r>
      <w:proofErr w:type="spellStart"/>
      <w:r w:rsidRPr="00896275">
        <w:rPr>
          <w:rFonts w:ascii="Sylfaen" w:hAnsi="Sylfaen" w:cs="Sylfaen"/>
          <w:i/>
          <w:iCs/>
          <w:sz w:val="16"/>
          <w:szCs w:val="16"/>
        </w:rPr>
        <w:t>წარმოადგენს</w:t>
      </w:r>
      <w:proofErr w:type="spellEnd"/>
      <w:r w:rsidRPr="00896275">
        <w:rPr>
          <w:rFonts w:ascii="Sylfaen" w:hAnsi="Sylfaen" w:cs="Sylfaen"/>
          <w:i/>
          <w:iCs/>
          <w:sz w:val="16"/>
          <w:szCs w:val="16"/>
        </w:rPr>
        <w:t xml:space="preserve"> </w:t>
      </w:r>
      <w:proofErr w:type="spellStart"/>
      <w:r w:rsidRPr="00896275">
        <w:rPr>
          <w:rFonts w:ascii="Sylfaen" w:hAnsi="Sylfaen" w:cs="Sylfaen"/>
          <w:i/>
          <w:iCs/>
          <w:sz w:val="16"/>
          <w:szCs w:val="16"/>
        </w:rPr>
        <w:t>სხვაობას</w:t>
      </w:r>
      <w:proofErr w:type="spellEnd"/>
      <w:r w:rsidRPr="00896275">
        <w:rPr>
          <w:rFonts w:ascii="Sylfaen" w:hAnsi="Sylfaen" w:cs="Sylfaen"/>
          <w:i/>
          <w:iCs/>
          <w:sz w:val="16"/>
          <w:szCs w:val="16"/>
        </w:rPr>
        <w:t xml:space="preserve"> </w:t>
      </w:r>
      <w:proofErr w:type="spellStart"/>
      <w:r w:rsidRPr="00896275">
        <w:rPr>
          <w:rFonts w:ascii="Sylfaen" w:hAnsi="Sylfaen" w:cs="Sylfaen"/>
          <w:i/>
          <w:iCs/>
          <w:sz w:val="16"/>
          <w:szCs w:val="16"/>
        </w:rPr>
        <w:t>მთლიანი</w:t>
      </w:r>
      <w:proofErr w:type="spellEnd"/>
      <w:r w:rsidRPr="00896275">
        <w:rPr>
          <w:rFonts w:ascii="Sylfaen" w:hAnsi="Sylfaen" w:cs="Sylfaen"/>
          <w:i/>
          <w:iCs/>
          <w:sz w:val="16"/>
          <w:szCs w:val="16"/>
        </w:rPr>
        <w:t xml:space="preserve"> </w:t>
      </w:r>
      <w:proofErr w:type="spellStart"/>
      <w:r w:rsidRPr="00896275">
        <w:rPr>
          <w:rFonts w:ascii="Sylfaen" w:hAnsi="Sylfaen" w:cs="Sylfaen"/>
          <w:i/>
          <w:iCs/>
          <w:sz w:val="16"/>
          <w:szCs w:val="16"/>
        </w:rPr>
        <w:t>შიდა</w:t>
      </w:r>
      <w:proofErr w:type="spellEnd"/>
      <w:r w:rsidRPr="00896275">
        <w:rPr>
          <w:rFonts w:ascii="Sylfaen" w:hAnsi="Sylfaen" w:cs="Sylfaen"/>
          <w:i/>
          <w:iCs/>
          <w:sz w:val="16"/>
          <w:szCs w:val="16"/>
        </w:rPr>
        <w:t xml:space="preserve"> </w:t>
      </w:r>
      <w:proofErr w:type="spellStart"/>
      <w:r w:rsidRPr="00896275">
        <w:rPr>
          <w:rFonts w:ascii="Sylfaen" w:hAnsi="Sylfaen" w:cs="Sylfaen"/>
          <w:i/>
          <w:iCs/>
          <w:sz w:val="16"/>
          <w:szCs w:val="16"/>
        </w:rPr>
        <w:t>პროდუქტის</w:t>
      </w:r>
      <w:proofErr w:type="spellEnd"/>
      <w:r w:rsidRPr="00896275">
        <w:rPr>
          <w:rFonts w:ascii="Sylfaen" w:hAnsi="Sylfaen" w:cs="Sylfaen"/>
          <w:i/>
          <w:iCs/>
          <w:sz w:val="16"/>
          <w:szCs w:val="16"/>
        </w:rPr>
        <w:t xml:space="preserve"> </w:t>
      </w:r>
      <w:proofErr w:type="spellStart"/>
      <w:r w:rsidRPr="00896275">
        <w:rPr>
          <w:rFonts w:ascii="Sylfaen" w:hAnsi="Sylfaen" w:cs="Sylfaen"/>
          <w:i/>
          <w:iCs/>
          <w:sz w:val="16"/>
          <w:szCs w:val="16"/>
        </w:rPr>
        <w:t>ფაქტობრივ</w:t>
      </w:r>
      <w:proofErr w:type="spellEnd"/>
      <w:r w:rsidRPr="00896275">
        <w:rPr>
          <w:rFonts w:ascii="Sylfaen" w:hAnsi="Sylfaen" w:cs="Sylfaen"/>
          <w:i/>
          <w:iCs/>
          <w:sz w:val="16"/>
          <w:szCs w:val="16"/>
        </w:rPr>
        <w:t xml:space="preserve"> </w:t>
      </w:r>
      <w:proofErr w:type="spellStart"/>
      <w:r w:rsidRPr="00896275">
        <w:rPr>
          <w:rFonts w:ascii="Sylfaen" w:hAnsi="Sylfaen" w:cs="Sylfaen"/>
          <w:i/>
          <w:iCs/>
          <w:sz w:val="16"/>
          <w:szCs w:val="16"/>
        </w:rPr>
        <w:t>და</w:t>
      </w:r>
      <w:proofErr w:type="spellEnd"/>
      <w:r w:rsidRPr="00896275">
        <w:rPr>
          <w:rFonts w:ascii="Sylfaen" w:hAnsi="Sylfaen" w:cs="Sylfaen"/>
          <w:i/>
          <w:iCs/>
          <w:sz w:val="16"/>
          <w:szCs w:val="16"/>
        </w:rPr>
        <w:t xml:space="preserve"> </w:t>
      </w:r>
      <w:proofErr w:type="spellStart"/>
      <w:r w:rsidRPr="00896275">
        <w:rPr>
          <w:rFonts w:ascii="Sylfaen" w:hAnsi="Sylfaen" w:cs="Sylfaen"/>
          <w:i/>
          <w:iCs/>
          <w:sz w:val="16"/>
          <w:szCs w:val="16"/>
        </w:rPr>
        <w:t>პოტენციურ</w:t>
      </w:r>
      <w:proofErr w:type="spellEnd"/>
      <w:r w:rsidRPr="00896275">
        <w:rPr>
          <w:rFonts w:ascii="Sylfaen" w:hAnsi="Sylfaen" w:cs="Sylfaen"/>
          <w:i/>
          <w:iCs/>
          <w:sz w:val="16"/>
          <w:szCs w:val="16"/>
        </w:rPr>
        <w:t xml:space="preserve"> </w:t>
      </w:r>
      <w:proofErr w:type="spellStart"/>
      <w:r w:rsidRPr="00896275">
        <w:rPr>
          <w:rFonts w:ascii="Sylfaen" w:hAnsi="Sylfaen" w:cs="Sylfaen"/>
          <w:i/>
          <w:iCs/>
          <w:sz w:val="16"/>
          <w:szCs w:val="16"/>
        </w:rPr>
        <w:t>დონეს</w:t>
      </w:r>
      <w:proofErr w:type="spellEnd"/>
      <w:r w:rsidRPr="00896275">
        <w:rPr>
          <w:rFonts w:ascii="Sylfaen" w:hAnsi="Sylfaen" w:cs="Sylfaen"/>
          <w:i/>
          <w:iCs/>
          <w:sz w:val="16"/>
          <w:szCs w:val="16"/>
        </w:rPr>
        <w:t xml:space="preserve"> </w:t>
      </w:r>
      <w:proofErr w:type="spellStart"/>
      <w:r w:rsidRPr="00896275">
        <w:rPr>
          <w:rFonts w:ascii="Sylfaen" w:hAnsi="Sylfaen" w:cs="Sylfaen"/>
          <w:i/>
          <w:iCs/>
          <w:sz w:val="16"/>
          <w:szCs w:val="16"/>
        </w:rPr>
        <w:t>შორის</w:t>
      </w:r>
      <w:proofErr w:type="spellEnd"/>
    </w:p>
    <w:p w:rsidR="00E96ED8" w:rsidRPr="005D3A2C" w:rsidRDefault="00E96ED8" w:rsidP="00EB52CE">
      <w:pPr>
        <w:pStyle w:val="FootnoteText"/>
        <w:rPr>
          <w:rFonts w:ascii="Sylfaen" w:hAnsi="Sylfaen"/>
          <w:sz w:val="18"/>
          <w:szCs w:val="18"/>
          <w:lang w:val="ka-GE"/>
        </w:rPr>
      </w:pPr>
      <w:r w:rsidRPr="005D3A2C">
        <w:rPr>
          <w:rFonts w:ascii="Sylfaen" w:hAnsi="Sylfaen" w:cs="Sylfaen"/>
          <w:i/>
          <w:iCs/>
          <w:sz w:val="18"/>
          <w:szCs w:val="18"/>
        </w:rPr>
        <w:t>*</w:t>
      </w:r>
      <w:r w:rsidRPr="005D3A2C">
        <w:rPr>
          <w:rFonts w:ascii="Sylfaen" w:hAnsi="Sylfaen" w:cs="Sylfaen"/>
          <w:i/>
          <w:iCs/>
          <w:sz w:val="22"/>
          <w:szCs w:val="22"/>
        </w:rPr>
        <w:t>-</w:t>
      </w:r>
      <w:r w:rsidRPr="005D3A2C">
        <w:rPr>
          <w:rFonts w:ascii="Sylfaen" w:hAnsi="Sylfaen" w:cs="Sylfaen"/>
          <w:i/>
          <w:iCs/>
          <w:sz w:val="18"/>
          <w:szCs w:val="18"/>
        </w:rPr>
        <w:t xml:space="preserve"> </w:t>
      </w:r>
      <w:r w:rsidRPr="005D3A2C">
        <w:rPr>
          <w:rFonts w:ascii="Sylfaen" w:hAnsi="Sylfaen" w:cs="Sylfaen"/>
          <w:i/>
          <w:iCs/>
          <w:sz w:val="18"/>
          <w:szCs w:val="18"/>
          <w:lang w:val="ka-GE"/>
        </w:rPr>
        <w:t>წინასწარი</w:t>
      </w:r>
    </w:p>
  </w:footnote>
  <w:footnote w:id="3">
    <w:p w:rsidR="00E96ED8" w:rsidRPr="00EF3006" w:rsidRDefault="00E96ED8">
      <w:pPr>
        <w:pStyle w:val="FootnoteText"/>
        <w:rPr>
          <w:rFonts w:ascii="Sylfaen" w:hAnsi="Sylfaen"/>
          <w:lang w:val="ka-GE"/>
        </w:rPr>
      </w:pPr>
      <w:r>
        <w:rPr>
          <w:rStyle w:val="FootnoteReference"/>
        </w:rPr>
        <w:footnoteRef/>
      </w:r>
      <w:r>
        <w:t xml:space="preserve"> </w:t>
      </w:r>
      <w:proofErr w:type="spellStart"/>
      <w:proofErr w:type="gramStart"/>
      <w:r w:rsidRPr="00F95591">
        <w:rPr>
          <w:rFonts w:ascii="Sylfaen" w:hAnsi="Sylfaen" w:cs="Sylfaen"/>
          <w:i/>
          <w:iCs/>
          <w:sz w:val="16"/>
          <w:szCs w:val="16"/>
        </w:rPr>
        <w:t>ინფლაცია</w:t>
      </w:r>
      <w:proofErr w:type="spellEnd"/>
      <w:proofErr w:type="gramEnd"/>
      <w:r w:rsidRPr="00F95591">
        <w:rPr>
          <w:rFonts w:ascii="Sylfaen" w:hAnsi="Sylfaen" w:cs="Sylfaen"/>
          <w:i/>
          <w:iCs/>
          <w:sz w:val="16"/>
          <w:szCs w:val="16"/>
        </w:rPr>
        <w:t xml:space="preserve"> </w:t>
      </w:r>
      <w:proofErr w:type="spellStart"/>
      <w:r w:rsidRPr="00F95591">
        <w:rPr>
          <w:rFonts w:ascii="Sylfaen" w:hAnsi="Sylfaen" w:cs="Sylfaen"/>
          <w:i/>
          <w:iCs/>
          <w:sz w:val="16"/>
          <w:szCs w:val="16"/>
        </w:rPr>
        <w:t>სურსათის</w:t>
      </w:r>
      <w:proofErr w:type="spellEnd"/>
      <w:r w:rsidRPr="00F95591">
        <w:rPr>
          <w:rFonts w:ascii="Sylfaen" w:hAnsi="Sylfaen" w:cs="Sylfaen"/>
          <w:i/>
          <w:iCs/>
          <w:sz w:val="16"/>
          <w:szCs w:val="16"/>
        </w:rPr>
        <w:t xml:space="preserve"> </w:t>
      </w:r>
      <w:proofErr w:type="spellStart"/>
      <w:r w:rsidRPr="00F95591">
        <w:rPr>
          <w:rFonts w:ascii="Sylfaen" w:hAnsi="Sylfaen" w:cs="Sylfaen"/>
          <w:i/>
          <w:iCs/>
          <w:sz w:val="16"/>
          <w:szCs w:val="16"/>
        </w:rPr>
        <w:t>და</w:t>
      </w:r>
      <w:proofErr w:type="spellEnd"/>
      <w:r w:rsidRPr="00F95591">
        <w:rPr>
          <w:rFonts w:ascii="Sylfaen" w:hAnsi="Sylfaen" w:cs="Sylfaen"/>
          <w:i/>
          <w:iCs/>
          <w:sz w:val="16"/>
          <w:szCs w:val="16"/>
        </w:rPr>
        <w:t xml:space="preserve"> </w:t>
      </w:r>
      <w:proofErr w:type="spellStart"/>
      <w:r w:rsidRPr="00F95591">
        <w:rPr>
          <w:rFonts w:ascii="Sylfaen" w:hAnsi="Sylfaen" w:cs="Sylfaen"/>
          <w:i/>
          <w:iCs/>
          <w:sz w:val="16"/>
          <w:szCs w:val="16"/>
        </w:rPr>
        <w:t>უალკოჰოლო</w:t>
      </w:r>
      <w:proofErr w:type="spellEnd"/>
      <w:r w:rsidRPr="00F95591">
        <w:rPr>
          <w:rFonts w:ascii="Sylfaen" w:hAnsi="Sylfaen" w:cs="Sylfaen"/>
          <w:i/>
          <w:iCs/>
          <w:sz w:val="16"/>
          <w:szCs w:val="16"/>
        </w:rPr>
        <w:t xml:space="preserve"> </w:t>
      </w:r>
      <w:proofErr w:type="spellStart"/>
      <w:r w:rsidRPr="00F95591">
        <w:rPr>
          <w:rFonts w:ascii="Sylfaen" w:hAnsi="Sylfaen" w:cs="Sylfaen"/>
          <w:i/>
          <w:iCs/>
          <w:sz w:val="16"/>
          <w:szCs w:val="16"/>
        </w:rPr>
        <w:t>სასმელების</w:t>
      </w:r>
      <w:proofErr w:type="spellEnd"/>
      <w:r w:rsidRPr="00F95591">
        <w:rPr>
          <w:rFonts w:ascii="Sylfaen" w:hAnsi="Sylfaen" w:cs="Sylfaen"/>
          <w:i/>
          <w:iCs/>
          <w:sz w:val="16"/>
          <w:szCs w:val="16"/>
        </w:rPr>
        <w:t xml:space="preserve">, </w:t>
      </w:r>
      <w:proofErr w:type="spellStart"/>
      <w:r w:rsidRPr="00F95591">
        <w:rPr>
          <w:rFonts w:ascii="Sylfaen" w:hAnsi="Sylfaen" w:cs="Sylfaen"/>
          <w:i/>
          <w:iCs/>
          <w:sz w:val="16"/>
          <w:szCs w:val="16"/>
        </w:rPr>
        <w:t>ენერგომატარებლების</w:t>
      </w:r>
      <w:proofErr w:type="spellEnd"/>
      <w:r w:rsidRPr="00F95591">
        <w:rPr>
          <w:rFonts w:ascii="Sylfaen" w:hAnsi="Sylfaen" w:cs="Sylfaen"/>
          <w:i/>
          <w:iCs/>
          <w:sz w:val="16"/>
          <w:szCs w:val="16"/>
        </w:rPr>
        <w:t xml:space="preserve"> </w:t>
      </w:r>
      <w:proofErr w:type="spellStart"/>
      <w:r w:rsidRPr="00F95591">
        <w:rPr>
          <w:rFonts w:ascii="Sylfaen" w:hAnsi="Sylfaen" w:cs="Sylfaen"/>
          <w:i/>
          <w:iCs/>
          <w:sz w:val="16"/>
          <w:szCs w:val="16"/>
        </w:rPr>
        <w:t>და</w:t>
      </w:r>
      <w:proofErr w:type="spellEnd"/>
      <w:r w:rsidRPr="00F95591">
        <w:rPr>
          <w:rFonts w:ascii="Sylfaen" w:hAnsi="Sylfaen" w:cs="Sylfaen"/>
          <w:i/>
          <w:iCs/>
          <w:sz w:val="16"/>
          <w:szCs w:val="16"/>
        </w:rPr>
        <w:t xml:space="preserve"> </w:t>
      </w:r>
      <w:proofErr w:type="spellStart"/>
      <w:r w:rsidRPr="00F95591">
        <w:rPr>
          <w:rFonts w:ascii="Sylfaen" w:hAnsi="Sylfaen" w:cs="Sylfaen"/>
          <w:i/>
          <w:iCs/>
          <w:sz w:val="16"/>
          <w:szCs w:val="16"/>
        </w:rPr>
        <w:t>ადმინისტრირებადი</w:t>
      </w:r>
      <w:proofErr w:type="spellEnd"/>
      <w:r w:rsidRPr="00F95591">
        <w:rPr>
          <w:rFonts w:ascii="Sylfaen" w:hAnsi="Sylfaen" w:cs="Sylfaen"/>
          <w:i/>
          <w:iCs/>
          <w:sz w:val="16"/>
          <w:szCs w:val="16"/>
        </w:rPr>
        <w:t xml:space="preserve"> </w:t>
      </w:r>
      <w:proofErr w:type="spellStart"/>
      <w:r w:rsidRPr="00F95591">
        <w:rPr>
          <w:rFonts w:ascii="Sylfaen" w:hAnsi="Sylfaen" w:cs="Sylfaen"/>
          <w:i/>
          <w:iCs/>
          <w:sz w:val="16"/>
          <w:szCs w:val="16"/>
        </w:rPr>
        <w:t>ტარიფების</w:t>
      </w:r>
      <w:proofErr w:type="spellEnd"/>
      <w:r w:rsidRPr="00F95591">
        <w:rPr>
          <w:rFonts w:ascii="Sylfaen" w:hAnsi="Sylfaen" w:cs="Sylfaen"/>
          <w:i/>
          <w:iCs/>
          <w:sz w:val="16"/>
          <w:szCs w:val="16"/>
        </w:rPr>
        <w:t xml:space="preserve"> </w:t>
      </w:r>
      <w:proofErr w:type="spellStart"/>
      <w:r w:rsidRPr="00F95591">
        <w:rPr>
          <w:rFonts w:ascii="Sylfaen" w:hAnsi="Sylfaen" w:cs="Sylfaen"/>
          <w:i/>
          <w:iCs/>
          <w:sz w:val="16"/>
          <w:szCs w:val="16"/>
        </w:rPr>
        <w:t>გამორიცხვით</w:t>
      </w:r>
      <w:proofErr w:type="spellEnd"/>
      <w:r w:rsidRPr="00F95591">
        <w:rPr>
          <w:rFonts w:ascii="Sylfaen" w:hAnsi="Sylfaen" w:cs="Sylfaen"/>
          <w:i/>
          <w:iCs/>
          <w:sz w:val="16"/>
          <w:szCs w:val="16"/>
        </w:rPr>
        <w:t xml:space="preserve">, </w:t>
      </w:r>
      <w:proofErr w:type="spellStart"/>
      <w:r w:rsidRPr="00F95591">
        <w:rPr>
          <w:rFonts w:ascii="Sylfaen" w:hAnsi="Sylfaen" w:cs="Sylfaen"/>
          <w:i/>
          <w:iCs/>
          <w:sz w:val="16"/>
          <w:szCs w:val="16"/>
        </w:rPr>
        <w:t>რაც</w:t>
      </w:r>
      <w:proofErr w:type="spellEnd"/>
      <w:r w:rsidRPr="00F95591">
        <w:rPr>
          <w:rFonts w:ascii="Sylfaen" w:hAnsi="Sylfaen" w:cs="Sylfaen"/>
          <w:i/>
          <w:iCs/>
          <w:sz w:val="16"/>
          <w:szCs w:val="16"/>
        </w:rPr>
        <w:t xml:space="preserve"> </w:t>
      </w:r>
      <w:proofErr w:type="spellStart"/>
      <w:r w:rsidRPr="00F95591">
        <w:rPr>
          <w:rFonts w:ascii="Sylfaen" w:hAnsi="Sylfaen" w:cs="Sylfaen"/>
          <w:i/>
          <w:iCs/>
          <w:sz w:val="16"/>
          <w:szCs w:val="16"/>
        </w:rPr>
        <w:t>ინფლაციის</w:t>
      </w:r>
      <w:proofErr w:type="spellEnd"/>
      <w:r w:rsidRPr="00F95591">
        <w:rPr>
          <w:rFonts w:ascii="Sylfaen" w:hAnsi="Sylfaen" w:cs="Sylfaen"/>
          <w:i/>
          <w:iCs/>
          <w:sz w:val="16"/>
          <w:szCs w:val="16"/>
        </w:rPr>
        <w:t xml:space="preserve"> </w:t>
      </w:r>
      <w:proofErr w:type="spellStart"/>
      <w:r w:rsidRPr="00F95591">
        <w:rPr>
          <w:rFonts w:ascii="Sylfaen" w:hAnsi="Sylfaen" w:cs="Sylfaen"/>
          <w:i/>
          <w:iCs/>
          <w:sz w:val="16"/>
          <w:szCs w:val="16"/>
        </w:rPr>
        <w:t>გრძელვადიან</w:t>
      </w:r>
      <w:proofErr w:type="spellEnd"/>
      <w:r w:rsidRPr="00F95591">
        <w:rPr>
          <w:rFonts w:ascii="Sylfaen" w:hAnsi="Sylfaen" w:cs="Sylfaen"/>
          <w:i/>
          <w:iCs/>
          <w:sz w:val="16"/>
          <w:szCs w:val="16"/>
        </w:rPr>
        <w:t xml:space="preserve"> </w:t>
      </w:r>
      <w:proofErr w:type="spellStart"/>
      <w:r w:rsidRPr="00F95591">
        <w:rPr>
          <w:rFonts w:ascii="Sylfaen" w:hAnsi="Sylfaen" w:cs="Sylfaen"/>
          <w:i/>
          <w:iCs/>
          <w:sz w:val="16"/>
          <w:szCs w:val="16"/>
        </w:rPr>
        <w:t>ტრენდს</w:t>
      </w:r>
      <w:proofErr w:type="spellEnd"/>
      <w:r w:rsidRPr="00F95591">
        <w:rPr>
          <w:rFonts w:ascii="Sylfaen" w:hAnsi="Sylfaen" w:cs="Sylfaen"/>
          <w:i/>
          <w:iCs/>
          <w:sz w:val="16"/>
          <w:szCs w:val="16"/>
        </w:rPr>
        <w:t xml:space="preserve"> </w:t>
      </w:r>
      <w:proofErr w:type="spellStart"/>
      <w:r w:rsidRPr="00F95591">
        <w:rPr>
          <w:rFonts w:ascii="Sylfaen" w:hAnsi="Sylfaen" w:cs="Sylfaen"/>
          <w:i/>
          <w:iCs/>
          <w:sz w:val="16"/>
          <w:szCs w:val="16"/>
        </w:rPr>
        <w:t>გვიჩვენებს</w:t>
      </w:r>
      <w:proofErr w:type="spellEnd"/>
      <w:r w:rsidRPr="00F95591">
        <w:rPr>
          <w:rFonts w:ascii="Sylfaen" w:hAnsi="Sylfaen" w:cs="Sylfaen"/>
          <w:i/>
          <w:iCs/>
          <w:sz w:val="16"/>
          <w:szCs w:val="16"/>
        </w:rPr>
        <w:t>.</w:t>
      </w:r>
      <w:r>
        <w:rPr>
          <w:rFonts w:ascii="Sylfaen" w:hAnsi="Sylfaen"/>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D4C1F"/>
    <w:multiLevelType w:val="hybridMultilevel"/>
    <w:tmpl w:val="0BAC2F46"/>
    <w:lvl w:ilvl="0" w:tplc="12DAA1D6">
      <w:start w:val="1"/>
      <w:numFmt w:val="bullet"/>
      <w:lvlText w:val=""/>
      <w:lvlJc w:val="left"/>
      <w:pPr>
        <w:tabs>
          <w:tab w:val="num" w:pos="720"/>
        </w:tabs>
        <w:ind w:left="720" w:hanging="360"/>
      </w:pPr>
      <w:rPr>
        <w:rFonts w:ascii="Wingdings" w:hAnsi="Wingdings" w:hint="default"/>
      </w:rPr>
    </w:lvl>
    <w:lvl w:ilvl="1" w:tplc="FF5898CA" w:tentative="1">
      <w:start w:val="1"/>
      <w:numFmt w:val="bullet"/>
      <w:lvlText w:val=""/>
      <w:lvlJc w:val="left"/>
      <w:pPr>
        <w:tabs>
          <w:tab w:val="num" w:pos="1440"/>
        </w:tabs>
        <w:ind w:left="1440" w:hanging="360"/>
      </w:pPr>
      <w:rPr>
        <w:rFonts w:ascii="Wingdings" w:hAnsi="Wingdings" w:hint="default"/>
      </w:rPr>
    </w:lvl>
    <w:lvl w:ilvl="2" w:tplc="26B2060A" w:tentative="1">
      <w:start w:val="1"/>
      <w:numFmt w:val="bullet"/>
      <w:lvlText w:val=""/>
      <w:lvlJc w:val="left"/>
      <w:pPr>
        <w:tabs>
          <w:tab w:val="num" w:pos="2160"/>
        </w:tabs>
        <w:ind w:left="2160" w:hanging="360"/>
      </w:pPr>
      <w:rPr>
        <w:rFonts w:ascii="Wingdings" w:hAnsi="Wingdings" w:hint="default"/>
      </w:rPr>
    </w:lvl>
    <w:lvl w:ilvl="3" w:tplc="059EC6A8" w:tentative="1">
      <w:start w:val="1"/>
      <w:numFmt w:val="bullet"/>
      <w:lvlText w:val=""/>
      <w:lvlJc w:val="left"/>
      <w:pPr>
        <w:tabs>
          <w:tab w:val="num" w:pos="2880"/>
        </w:tabs>
        <w:ind w:left="2880" w:hanging="360"/>
      </w:pPr>
      <w:rPr>
        <w:rFonts w:ascii="Wingdings" w:hAnsi="Wingdings" w:hint="default"/>
      </w:rPr>
    </w:lvl>
    <w:lvl w:ilvl="4" w:tplc="B5D436D0" w:tentative="1">
      <w:start w:val="1"/>
      <w:numFmt w:val="bullet"/>
      <w:lvlText w:val=""/>
      <w:lvlJc w:val="left"/>
      <w:pPr>
        <w:tabs>
          <w:tab w:val="num" w:pos="3600"/>
        </w:tabs>
        <w:ind w:left="3600" w:hanging="360"/>
      </w:pPr>
      <w:rPr>
        <w:rFonts w:ascii="Wingdings" w:hAnsi="Wingdings" w:hint="default"/>
      </w:rPr>
    </w:lvl>
    <w:lvl w:ilvl="5" w:tplc="21C04C70" w:tentative="1">
      <w:start w:val="1"/>
      <w:numFmt w:val="bullet"/>
      <w:lvlText w:val=""/>
      <w:lvlJc w:val="left"/>
      <w:pPr>
        <w:tabs>
          <w:tab w:val="num" w:pos="4320"/>
        </w:tabs>
        <w:ind w:left="4320" w:hanging="360"/>
      </w:pPr>
      <w:rPr>
        <w:rFonts w:ascii="Wingdings" w:hAnsi="Wingdings" w:hint="default"/>
      </w:rPr>
    </w:lvl>
    <w:lvl w:ilvl="6" w:tplc="DB389BB6" w:tentative="1">
      <w:start w:val="1"/>
      <w:numFmt w:val="bullet"/>
      <w:lvlText w:val=""/>
      <w:lvlJc w:val="left"/>
      <w:pPr>
        <w:tabs>
          <w:tab w:val="num" w:pos="5040"/>
        </w:tabs>
        <w:ind w:left="5040" w:hanging="360"/>
      </w:pPr>
      <w:rPr>
        <w:rFonts w:ascii="Wingdings" w:hAnsi="Wingdings" w:hint="default"/>
      </w:rPr>
    </w:lvl>
    <w:lvl w:ilvl="7" w:tplc="2236E126" w:tentative="1">
      <w:start w:val="1"/>
      <w:numFmt w:val="bullet"/>
      <w:lvlText w:val=""/>
      <w:lvlJc w:val="left"/>
      <w:pPr>
        <w:tabs>
          <w:tab w:val="num" w:pos="5760"/>
        </w:tabs>
        <w:ind w:left="5760" w:hanging="360"/>
      </w:pPr>
      <w:rPr>
        <w:rFonts w:ascii="Wingdings" w:hAnsi="Wingdings" w:hint="default"/>
      </w:rPr>
    </w:lvl>
    <w:lvl w:ilvl="8" w:tplc="0D7A3E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F5227D"/>
    <w:multiLevelType w:val="hybridMultilevel"/>
    <w:tmpl w:val="BFA8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171A6"/>
    <w:multiLevelType w:val="hybridMultilevel"/>
    <w:tmpl w:val="A0EAAF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130DA"/>
    <w:multiLevelType w:val="hybridMultilevel"/>
    <w:tmpl w:val="AAEC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90F69"/>
    <w:multiLevelType w:val="hybridMultilevel"/>
    <w:tmpl w:val="DB9EC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09"/>
    <w:rsid w:val="00000394"/>
    <w:rsid w:val="00014B58"/>
    <w:rsid w:val="00016607"/>
    <w:rsid w:val="000331BA"/>
    <w:rsid w:val="00035B2C"/>
    <w:rsid w:val="00046F09"/>
    <w:rsid w:val="00051C1D"/>
    <w:rsid w:val="00055CA5"/>
    <w:rsid w:val="000740CC"/>
    <w:rsid w:val="000822EB"/>
    <w:rsid w:val="00094488"/>
    <w:rsid w:val="000A3FCB"/>
    <w:rsid w:val="000B2C87"/>
    <w:rsid w:val="000B4635"/>
    <w:rsid w:val="000B75F1"/>
    <w:rsid w:val="000B772D"/>
    <w:rsid w:val="000C0F61"/>
    <w:rsid w:val="000C3469"/>
    <w:rsid w:val="000E1B86"/>
    <w:rsid w:val="000E2A71"/>
    <w:rsid w:val="000F1545"/>
    <w:rsid w:val="00101FD9"/>
    <w:rsid w:val="00104A78"/>
    <w:rsid w:val="00107242"/>
    <w:rsid w:val="00110ED2"/>
    <w:rsid w:val="001162EA"/>
    <w:rsid w:val="00123A10"/>
    <w:rsid w:val="00156C69"/>
    <w:rsid w:val="00165274"/>
    <w:rsid w:val="00181DD4"/>
    <w:rsid w:val="001B783C"/>
    <w:rsid w:val="001C226F"/>
    <w:rsid w:val="001C5F69"/>
    <w:rsid w:val="001E60B6"/>
    <w:rsid w:val="001E60CB"/>
    <w:rsid w:val="001F082F"/>
    <w:rsid w:val="001F2AD3"/>
    <w:rsid w:val="00201B08"/>
    <w:rsid w:val="0020554C"/>
    <w:rsid w:val="002064D1"/>
    <w:rsid w:val="00216272"/>
    <w:rsid w:val="0022224C"/>
    <w:rsid w:val="00226F6D"/>
    <w:rsid w:val="002323DD"/>
    <w:rsid w:val="00237031"/>
    <w:rsid w:val="0025149B"/>
    <w:rsid w:val="0025186A"/>
    <w:rsid w:val="00254BEE"/>
    <w:rsid w:val="00262345"/>
    <w:rsid w:val="0026331A"/>
    <w:rsid w:val="00270B9C"/>
    <w:rsid w:val="00272935"/>
    <w:rsid w:val="00275952"/>
    <w:rsid w:val="00277F7A"/>
    <w:rsid w:val="00283009"/>
    <w:rsid w:val="002902AC"/>
    <w:rsid w:val="002C1DE5"/>
    <w:rsid w:val="002C3155"/>
    <w:rsid w:val="002C4823"/>
    <w:rsid w:val="002D3C4C"/>
    <w:rsid w:val="002D502E"/>
    <w:rsid w:val="002E45BD"/>
    <w:rsid w:val="002F6625"/>
    <w:rsid w:val="00303815"/>
    <w:rsid w:val="00311758"/>
    <w:rsid w:val="00330668"/>
    <w:rsid w:val="00333E93"/>
    <w:rsid w:val="00342764"/>
    <w:rsid w:val="00352ECD"/>
    <w:rsid w:val="00356D83"/>
    <w:rsid w:val="003624B4"/>
    <w:rsid w:val="00362935"/>
    <w:rsid w:val="00362AAF"/>
    <w:rsid w:val="00363A67"/>
    <w:rsid w:val="00377DD8"/>
    <w:rsid w:val="00381DCC"/>
    <w:rsid w:val="00386118"/>
    <w:rsid w:val="003956EE"/>
    <w:rsid w:val="003A1D9E"/>
    <w:rsid w:val="003A664E"/>
    <w:rsid w:val="003B4906"/>
    <w:rsid w:val="003B7CE2"/>
    <w:rsid w:val="003C4B9F"/>
    <w:rsid w:val="003D440D"/>
    <w:rsid w:val="003F1B1C"/>
    <w:rsid w:val="00416397"/>
    <w:rsid w:val="00424703"/>
    <w:rsid w:val="00440C97"/>
    <w:rsid w:val="00441653"/>
    <w:rsid w:val="00445C20"/>
    <w:rsid w:val="004470C6"/>
    <w:rsid w:val="0045144D"/>
    <w:rsid w:val="0046679A"/>
    <w:rsid w:val="00496EB3"/>
    <w:rsid w:val="004A2FC2"/>
    <w:rsid w:val="004B48A7"/>
    <w:rsid w:val="004B5917"/>
    <w:rsid w:val="004D6413"/>
    <w:rsid w:val="004E1A37"/>
    <w:rsid w:val="00503A6B"/>
    <w:rsid w:val="0050545E"/>
    <w:rsid w:val="005106E0"/>
    <w:rsid w:val="005227C9"/>
    <w:rsid w:val="005377AF"/>
    <w:rsid w:val="00545D97"/>
    <w:rsid w:val="0056506C"/>
    <w:rsid w:val="005766F1"/>
    <w:rsid w:val="00586D57"/>
    <w:rsid w:val="00592EF1"/>
    <w:rsid w:val="005B055C"/>
    <w:rsid w:val="005B2516"/>
    <w:rsid w:val="005B601B"/>
    <w:rsid w:val="005C141B"/>
    <w:rsid w:val="005C442A"/>
    <w:rsid w:val="005D333F"/>
    <w:rsid w:val="005D422A"/>
    <w:rsid w:val="005D56CB"/>
    <w:rsid w:val="005E3E5F"/>
    <w:rsid w:val="005F15C1"/>
    <w:rsid w:val="006018AD"/>
    <w:rsid w:val="00601D0B"/>
    <w:rsid w:val="00603926"/>
    <w:rsid w:val="00617424"/>
    <w:rsid w:val="00625B6B"/>
    <w:rsid w:val="00625B96"/>
    <w:rsid w:val="00627DF7"/>
    <w:rsid w:val="00634906"/>
    <w:rsid w:val="00634BBD"/>
    <w:rsid w:val="0064133E"/>
    <w:rsid w:val="0065057B"/>
    <w:rsid w:val="0066269B"/>
    <w:rsid w:val="00672FB4"/>
    <w:rsid w:val="00686FF7"/>
    <w:rsid w:val="006C08C4"/>
    <w:rsid w:val="006C182D"/>
    <w:rsid w:val="006F114B"/>
    <w:rsid w:val="00704823"/>
    <w:rsid w:val="00707B0D"/>
    <w:rsid w:val="00722DA2"/>
    <w:rsid w:val="00726317"/>
    <w:rsid w:val="00726556"/>
    <w:rsid w:val="00731C77"/>
    <w:rsid w:val="00756C55"/>
    <w:rsid w:val="00761348"/>
    <w:rsid w:val="00771A45"/>
    <w:rsid w:val="00790CDE"/>
    <w:rsid w:val="00791484"/>
    <w:rsid w:val="007A2A7D"/>
    <w:rsid w:val="007A5F53"/>
    <w:rsid w:val="007B7215"/>
    <w:rsid w:val="007F403D"/>
    <w:rsid w:val="007F757B"/>
    <w:rsid w:val="00813884"/>
    <w:rsid w:val="00834B7D"/>
    <w:rsid w:val="00844372"/>
    <w:rsid w:val="00856B05"/>
    <w:rsid w:val="00861621"/>
    <w:rsid w:val="00862B29"/>
    <w:rsid w:val="00862E8D"/>
    <w:rsid w:val="00865001"/>
    <w:rsid w:val="008659E4"/>
    <w:rsid w:val="00876D4A"/>
    <w:rsid w:val="00890926"/>
    <w:rsid w:val="0089781E"/>
    <w:rsid w:val="008A73CC"/>
    <w:rsid w:val="008C01E7"/>
    <w:rsid w:val="008C327D"/>
    <w:rsid w:val="008C5FD8"/>
    <w:rsid w:val="008D27D5"/>
    <w:rsid w:val="008E623E"/>
    <w:rsid w:val="008F13C8"/>
    <w:rsid w:val="00907467"/>
    <w:rsid w:val="00924677"/>
    <w:rsid w:val="00933471"/>
    <w:rsid w:val="00964DA3"/>
    <w:rsid w:val="009756FE"/>
    <w:rsid w:val="009816C8"/>
    <w:rsid w:val="009B2D7A"/>
    <w:rsid w:val="009B3005"/>
    <w:rsid w:val="009B3537"/>
    <w:rsid w:val="009C208F"/>
    <w:rsid w:val="009C23EF"/>
    <w:rsid w:val="009C2F63"/>
    <w:rsid w:val="009C6A25"/>
    <w:rsid w:val="009D2DD4"/>
    <w:rsid w:val="009E4A3C"/>
    <w:rsid w:val="009F0008"/>
    <w:rsid w:val="009F0129"/>
    <w:rsid w:val="009F0A66"/>
    <w:rsid w:val="009F1364"/>
    <w:rsid w:val="00A02209"/>
    <w:rsid w:val="00A14B1C"/>
    <w:rsid w:val="00A44111"/>
    <w:rsid w:val="00A44F7F"/>
    <w:rsid w:val="00A45A43"/>
    <w:rsid w:val="00A52158"/>
    <w:rsid w:val="00A6076C"/>
    <w:rsid w:val="00A74E7E"/>
    <w:rsid w:val="00A85D45"/>
    <w:rsid w:val="00A85F78"/>
    <w:rsid w:val="00A9788C"/>
    <w:rsid w:val="00AA2E5A"/>
    <w:rsid w:val="00AA557F"/>
    <w:rsid w:val="00AA5B0F"/>
    <w:rsid w:val="00AB3335"/>
    <w:rsid w:val="00AB3DDE"/>
    <w:rsid w:val="00AB4CE7"/>
    <w:rsid w:val="00AB4F00"/>
    <w:rsid w:val="00AB7911"/>
    <w:rsid w:val="00AC6CB3"/>
    <w:rsid w:val="00AD63C3"/>
    <w:rsid w:val="00AE062A"/>
    <w:rsid w:val="00AE0B31"/>
    <w:rsid w:val="00AE179D"/>
    <w:rsid w:val="00B06058"/>
    <w:rsid w:val="00B2050C"/>
    <w:rsid w:val="00B23E84"/>
    <w:rsid w:val="00B331A8"/>
    <w:rsid w:val="00B33CEE"/>
    <w:rsid w:val="00B43B55"/>
    <w:rsid w:val="00B45E05"/>
    <w:rsid w:val="00B47A54"/>
    <w:rsid w:val="00B54A95"/>
    <w:rsid w:val="00B55F81"/>
    <w:rsid w:val="00B74E34"/>
    <w:rsid w:val="00B854DD"/>
    <w:rsid w:val="00BA774C"/>
    <w:rsid w:val="00BB6B7A"/>
    <w:rsid w:val="00BC184D"/>
    <w:rsid w:val="00BD5FD1"/>
    <w:rsid w:val="00BE4139"/>
    <w:rsid w:val="00BE5D7D"/>
    <w:rsid w:val="00C14658"/>
    <w:rsid w:val="00C203A8"/>
    <w:rsid w:val="00C248C6"/>
    <w:rsid w:val="00C274C6"/>
    <w:rsid w:val="00C32189"/>
    <w:rsid w:val="00C35877"/>
    <w:rsid w:val="00C35A0F"/>
    <w:rsid w:val="00C50ED5"/>
    <w:rsid w:val="00C5556E"/>
    <w:rsid w:val="00C61F46"/>
    <w:rsid w:val="00C62721"/>
    <w:rsid w:val="00C67709"/>
    <w:rsid w:val="00C67770"/>
    <w:rsid w:val="00C772DE"/>
    <w:rsid w:val="00C862B6"/>
    <w:rsid w:val="00CA2DCF"/>
    <w:rsid w:val="00CB0DF3"/>
    <w:rsid w:val="00CB14AE"/>
    <w:rsid w:val="00CB6B06"/>
    <w:rsid w:val="00CC7950"/>
    <w:rsid w:val="00CF3E0B"/>
    <w:rsid w:val="00D02C61"/>
    <w:rsid w:val="00D16C6E"/>
    <w:rsid w:val="00D36F74"/>
    <w:rsid w:val="00D52933"/>
    <w:rsid w:val="00D71F36"/>
    <w:rsid w:val="00D74D5C"/>
    <w:rsid w:val="00D76CE5"/>
    <w:rsid w:val="00D84634"/>
    <w:rsid w:val="00D85410"/>
    <w:rsid w:val="00D85ABF"/>
    <w:rsid w:val="00D9582A"/>
    <w:rsid w:val="00DA1FA3"/>
    <w:rsid w:val="00DD03B6"/>
    <w:rsid w:val="00DD6933"/>
    <w:rsid w:val="00DF4002"/>
    <w:rsid w:val="00E044EB"/>
    <w:rsid w:val="00E1767E"/>
    <w:rsid w:val="00E2062D"/>
    <w:rsid w:val="00E25C21"/>
    <w:rsid w:val="00E40AAA"/>
    <w:rsid w:val="00E5316E"/>
    <w:rsid w:val="00E57CE9"/>
    <w:rsid w:val="00E643DB"/>
    <w:rsid w:val="00E6475D"/>
    <w:rsid w:val="00E75BBA"/>
    <w:rsid w:val="00E772CA"/>
    <w:rsid w:val="00E96ED8"/>
    <w:rsid w:val="00EA684C"/>
    <w:rsid w:val="00EB0186"/>
    <w:rsid w:val="00EB3760"/>
    <w:rsid w:val="00EB52CE"/>
    <w:rsid w:val="00EC286A"/>
    <w:rsid w:val="00ED1A7C"/>
    <w:rsid w:val="00ED6009"/>
    <w:rsid w:val="00ED642C"/>
    <w:rsid w:val="00EE6837"/>
    <w:rsid w:val="00EE79DC"/>
    <w:rsid w:val="00EF3006"/>
    <w:rsid w:val="00F11353"/>
    <w:rsid w:val="00F119D9"/>
    <w:rsid w:val="00F2657A"/>
    <w:rsid w:val="00F312C6"/>
    <w:rsid w:val="00F50815"/>
    <w:rsid w:val="00F55FE7"/>
    <w:rsid w:val="00F57F3B"/>
    <w:rsid w:val="00F61F08"/>
    <w:rsid w:val="00F620B4"/>
    <w:rsid w:val="00F70DFD"/>
    <w:rsid w:val="00F70ECE"/>
    <w:rsid w:val="00F77DA6"/>
    <w:rsid w:val="00F909C3"/>
    <w:rsid w:val="00F95591"/>
    <w:rsid w:val="00FB2899"/>
    <w:rsid w:val="00FE0F7D"/>
    <w:rsid w:val="00FF3FE9"/>
    <w:rsid w:val="00FF5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7CD1D7A-531C-49B2-82EC-C68ED2FD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B52CE"/>
    <w:pPr>
      <w:widowControl w:val="0"/>
      <w:spacing w:after="0" w:line="240" w:lineRule="auto"/>
    </w:pPr>
    <w:rPr>
      <w:rFonts w:ascii="Sylfaen" w:eastAsia="Sylfaen" w:hAnsi="Sylfaen" w:cs="Sylfaen"/>
    </w:rPr>
  </w:style>
  <w:style w:type="paragraph" w:styleId="Heading1">
    <w:name w:val="heading 1"/>
    <w:basedOn w:val="Normal"/>
    <w:link w:val="Heading1Char"/>
    <w:autoRedefine/>
    <w:uiPriority w:val="1"/>
    <w:qFormat/>
    <w:rsid w:val="00625B96"/>
    <w:pPr>
      <w:tabs>
        <w:tab w:val="decimal" w:pos="90"/>
        <w:tab w:val="decimal" w:pos="2430"/>
      </w:tabs>
      <w:spacing w:line="276" w:lineRule="auto"/>
      <w:jc w:val="both"/>
      <w:outlineLvl w:val="0"/>
    </w:pPr>
    <w:rPr>
      <w:b/>
      <w:bCs/>
      <w:color w:val="1F4E79" w:themeColor="accent1" w:themeShade="80"/>
      <w:sz w:val="28"/>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2CE"/>
    <w:pPr>
      <w:widowControl/>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1"/>
    <w:rsid w:val="00625B96"/>
    <w:rPr>
      <w:rFonts w:ascii="Sylfaen" w:eastAsia="Sylfaen" w:hAnsi="Sylfaen" w:cs="Sylfaen"/>
      <w:b/>
      <w:bCs/>
      <w:color w:val="1F4E79" w:themeColor="accent1" w:themeShade="80"/>
      <w:sz w:val="28"/>
      <w:lang w:val="ka-GE"/>
    </w:rPr>
  </w:style>
  <w:style w:type="paragraph" w:styleId="BodyText">
    <w:name w:val="Body Text"/>
    <w:basedOn w:val="Normal"/>
    <w:link w:val="BodyTextChar"/>
    <w:uiPriority w:val="1"/>
    <w:qFormat/>
    <w:rsid w:val="00EB52CE"/>
  </w:style>
  <w:style w:type="character" w:customStyle="1" w:styleId="BodyTextChar">
    <w:name w:val="Body Text Char"/>
    <w:basedOn w:val="DefaultParagraphFont"/>
    <w:link w:val="BodyText"/>
    <w:uiPriority w:val="1"/>
    <w:rsid w:val="00EB52CE"/>
    <w:rPr>
      <w:rFonts w:ascii="Sylfaen" w:eastAsia="Sylfaen" w:hAnsi="Sylfaen" w:cs="Sylfaen"/>
    </w:rPr>
  </w:style>
  <w:style w:type="paragraph" w:styleId="FootnoteText">
    <w:name w:val="footnote text"/>
    <w:basedOn w:val="Normal"/>
    <w:link w:val="FootnoteTextChar"/>
    <w:uiPriority w:val="99"/>
    <w:semiHidden/>
    <w:unhideWhenUsed/>
    <w:rsid w:val="00EB52CE"/>
    <w:pPr>
      <w:widowControl/>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52CE"/>
    <w:rPr>
      <w:sz w:val="20"/>
      <w:szCs w:val="20"/>
    </w:rPr>
  </w:style>
  <w:style w:type="character" w:styleId="FootnoteReference">
    <w:name w:val="footnote reference"/>
    <w:basedOn w:val="DefaultParagraphFont"/>
    <w:uiPriority w:val="99"/>
    <w:semiHidden/>
    <w:unhideWhenUsed/>
    <w:rsid w:val="00EB52CE"/>
    <w:rPr>
      <w:vertAlign w:val="superscript"/>
    </w:rPr>
  </w:style>
  <w:style w:type="paragraph" w:styleId="TOCHeading">
    <w:name w:val="TOC Heading"/>
    <w:basedOn w:val="Heading1"/>
    <w:next w:val="Normal"/>
    <w:uiPriority w:val="39"/>
    <w:unhideWhenUsed/>
    <w:qFormat/>
    <w:rsid w:val="00EB52CE"/>
    <w:pPr>
      <w:keepNext/>
      <w:keepLines/>
      <w:widowControl/>
      <w:spacing w:before="240" w:line="259" w:lineRule="auto"/>
      <w:outlineLvl w:val="9"/>
    </w:pPr>
    <w:rPr>
      <w:rFonts w:asciiTheme="majorHAnsi" w:eastAsiaTheme="majorEastAsia" w:hAnsiTheme="majorHAnsi" w:cstheme="majorBidi"/>
      <w:b w:val="0"/>
      <w:bCs w:val="0"/>
      <w:sz w:val="32"/>
      <w:szCs w:val="32"/>
    </w:rPr>
  </w:style>
  <w:style w:type="paragraph" w:styleId="TOC1">
    <w:name w:val="toc 1"/>
    <w:basedOn w:val="Normal"/>
    <w:next w:val="Normal"/>
    <w:autoRedefine/>
    <w:uiPriority w:val="39"/>
    <w:unhideWhenUsed/>
    <w:rsid w:val="00EB52CE"/>
    <w:pPr>
      <w:spacing w:after="100"/>
    </w:pPr>
  </w:style>
  <w:style w:type="character" w:styleId="Hyperlink">
    <w:name w:val="Hyperlink"/>
    <w:basedOn w:val="DefaultParagraphFont"/>
    <w:uiPriority w:val="99"/>
    <w:unhideWhenUsed/>
    <w:rsid w:val="00EB52CE"/>
    <w:rPr>
      <w:color w:val="0563C1" w:themeColor="hyperlink"/>
      <w:u w:val="single"/>
    </w:rPr>
  </w:style>
  <w:style w:type="paragraph" w:styleId="NoSpacing">
    <w:name w:val="No Spacing"/>
    <w:link w:val="NoSpacingChar"/>
    <w:uiPriority w:val="1"/>
    <w:qFormat/>
    <w:rsid w:val="00EB52CE"/>
    <w:pPr>
      <w:spacing w:after="0" w:line="240" w:lineRule="auto"/>
    </w:pPr>
    <w:rPr>
      <w:rFonts w:eastAsiaTheme="minorEastAsia"/>
    </w:rPr>
  </w:style>
  <w:style w:type="character" w:customStyle="1" w:styleId="NoSpacingChar">
    <w:name w:val="No Spacing Char"/>
    <w:basedOn w:val="DefaultParagraphFont"/>
    <w:link w:val="NoSpacing"/>
    <w:uiPriority w:val="1"/>
    <w:rsid w:val="00EB52CE"/>
    <w:rPr>
      <w:rFonts w:eastAsiaTheme="minorEastAsia"/>
    </w:rPr>
  </w:style>
  <w:style w:type="character" w:styleId="Strong">
    <w:name w:val="Strong"/>
    <w:basedOn w:val="DefaultParagraphFont"/>
    <w:uiPriority w:val="22"/>
    <w:qFormat/>
    <w:rsid w:val="00EB52CE"/>
    <w:rPr>
      <w:b/>
      <w:bCs/>
    </w:rPr>
  </w:style>
  <w:style w:type="character" w:customStyle="1" w:styleId="apple-converted-space">
    <w:name w:val="apple-converted-space"/>
    <w:basedOn w:val="DefaultParagraphFont"/>
    <w:rsid w:val="00EB52CE"/>
  </w:style>
  <w:style w:type="character" w:styleId="CommentReference">
    <w:name w:val="annotation reference"/>
    <w:basedOn w:val="DefaultParagraphFont"/>
    <w:uiPriority w:val="99"/>
    <w:semiHidden/>
    <w:unhideWhenUsed/>
    <w:rsid w:val="00F909C3"/>
    <w:rPr>
      <w:sz w:val="16"/>
      <w:szCs w:val="16"/>
    </w:rPr>
  </w:style>
  <w:style w:type="paragraph" w:styleId="CommentText">
    <w:name w:val="annotation text"/>
    <w:basedOn w:val="Normal"/>
    <w:link w:val="CommentTextChar"/>
    <w:uiPriority w:val="99"/>
    <w:semiHidden/>
    <w:unhideWhenUsed/>
    <w:rsid w:val="00F909C3"/>
    <w:rPr>
      <w:sz w:val="20"/>
      <w:szCs w:val="20"/>
    </w:rPr>
  </w:style>
  <w:style w:type="character" w:customStyle="1" w:styleId="CommentTextChar">
    <w:name w:val="Comment Text Char"/>
    <w:basedOn w:val="DefaultParagraphFont"/>
    <w:link w:val="CommentText"/>
    <w:uiPriority w:val="99"/>
    <w:semiHidden/>
    <w:rsid w:val="00F909C3"/>
    <w:rPr>
      <w:rFonts w:ascii="Sylfaen" w:eastAsia="Sylfaen" w:hAnsi="Sylfaen" w:cs="Sylfaen"/>
      <w:sz w:val="20"/>
      <w:szCs w:val="20"/>
    </w:rPr>
  </w:style>
  <w:style w:type="paragraph" w:styleId="CommentSubject">
    <w:name w:val="annotation subject"/>
    <w:basedOn w:val="CommentText"/>
    <w:next w:val="CommentText"/>
    <w:link w:val="CommentSubjectChar"/>
    <w:uiPriority w:val="99"/>
    <w:semiHidden/>
    <w:unhideWhenUsed/>
    <w:rsid w:val="00F909C3"/>
    <w:rPr>
      <w:b/>
      <w:bCs/>
    </w:rPr>
  </w:style>
  <w:style w:type="character" w:customStyle="1" w:styleId="CommentSubjectChar">
    <w:name w:val="Comment Subject Char"/>
    <w:basedOn w:val="CommentTextChar"/>
    <w:link w:val="CommentSubject"/>
    <w:uiPriority w:val="99"/>
    <w:semiHidden/>
    <w:rsid w:val="00F909C3"/>
    <w:rPr>
      <w:rFonts w:ascii="Sylfaen" w:eastAsia="Sylfaen" w:hAnsi="Sylfaen" w:cs="Sylfaen"/>
      <w:b/>
      <w:bCs/>
      <w:sz w:val="20"/>
      <w:szCs w:val="20"/>
    </w:rPr>
  </w:style>
  <w:style w:type="paragraph" w:styleId="BalloonText">
    <w:name w:val="Balloon Text"/>
    <w:basedOn w:val="Normal"/>
    <w:link w:val="BalloonTextChar"/>
    <w:uiPriority w:val="99"/>
    <w:semiHidden/>
    <w:unhideWhenUsed/>
    <w:rsid w:val="00F90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9C3"/>
    <w:rPr>
      <w:rFonts w:ascii="Segoe UI" w:eastAsia="Sylfaen" w:hAnsi="Segoe UI" w:cs="Segoe UI"/>
      <w:sz w:val="18"/>
      <w:szCs w:val="18"/>
    </w:rPr>
  </w:style>
  <w:style w:type="paragraph" w:styleId="Revision">
    <w:name w:val="Revision"/>
    <w:hidden/>
    <w:uiPriority w:val="99"/>
    <w:semiHidden/>
    <w:rsid w:val="00844372"/>
    <w:pPr>
      <w:spacing w:after="0" w:line="240" w:lineRule="auto"/>
    </w:pPr>
    <w:rPr>
      <w:rFonts w:ascii="Sylfaen" w:eastAsia="Sylfaen" w:hAnsi="Sylfaen" w:cs="Sylfaen"/>
    </w:rPr>
  </w:style>
  <w:style w:type="paragraph" w:styleId="NormalWeb">
    <w:name w:val="Normal (Web)"/>
    <w:basedOn w:val="Normal"/>
    <w:uiPriority w:val="99"/>
    <w:unhideWhenUsed/>
    <w:rsid w:val="004A2FC2"/>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4467">
      <w:bodyDiv w:val="1"/>
      <w:marLeft w:val="0"/>
      <w:marRight w:val="0"/>
      <w:marTop w:val="0"/>
      <w:marBottom w:val="0"/>
      <w:divBdr>
        <w:top w:val="none" w:sz="0" w:space="0" w:color="auto"/>
        <w:left w:val="none" w:sz="0" w:space="0" w:color="auto"/>
        <w:bottom w:val="none" w:sz="0" w:space="0" w:color="auto"/>
        <w:right w:val="none" w:sz="0" w:space="0" w:color="auto"/>
      </w:divBdr>
    </w:div>
    <w:div w:id="305398553">
      <w:bodyDiv w:val="1"/>
      <w:marLeft w:val="0"/>
      <w:marRight w:val="0"/>
      <w:marTop w:val="0"/>
      <w:marBottom w:val="0"/>
      <w:divBdr>
        <w:top w:val="none" w:sz="0" w:space="0" w:color="auto"/>
        <w:left w:val="none" w:sz="0" w:space="0" w:color="auto"/>
        <w:bottom w:val="none" w:sz="0" w:space="0" w:color="auto"/>
        <w:right w:val="none" w:sz="0" w:space="0" w:color="auto"/>
      </w:divBdr>
    </w:div>
    <w:div w:id="164531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mailto:vtsintsadze@moesd.gov.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mailto:vtsintsadze@moesd.gov.g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chapidze\Desktop\monthly%20excels\Copy%20of%20tvis%20zrda.xls"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chapidze\Desktop\monthly%20excels\Copy%20of%20ex.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k.chapidze\Desktop\monthly%20excels\money_transfers_by_months_geo%20(15).xls"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333333"/>
                </a:solidFill>
                <a:latin typeface="Calibri"/>
                <a:ea typeface="Calibri"/>
                <a:cs typeface="Calibri"/>
              </a:defRPr>
            </a:pPr>
            <a:r>
              <a:rPr lang="ka-GE"/>
              <a:t>ეკონომიკური ზრდა</a:t>
            </a:r>
          </a:p>
        </c:rich>
      </c:tx>
      <c:overlay val="0"/>
      <c:spPr>
        <a:noFill/>
        <a:ln w="25400">
          <a:noFill/>
        </a:ln>
      </c:spPr>
    </c:title>
    <c:autoTitleDeleted val="0"/>
    <c:plotArea>
      <c:layout/>
      <c:barChart>
        <c:barDir val="col"/>
        <c:grouping val="clustered"/>
        <c:varyColors val="0"/>
        <c:ser>
          <c:idx val="0"/>
          <c:order val="0"/>
          <c:tx>
            <c:strRef>
              <c:f>Sheet1!$C$5</c:f>
              <c:strCache>
                <c:ptCount val="1"/>
                <c:pt idx="0">
                  <c:v>თვის ეკონომიკური ზრდა, %</c:v>
                </c:pt>
              </c:strCache>
            </c:strRef>
          </c:tx>
          <c:spPr>
            <a:solidFill>
              <a:srgbClr val="4F81BD"/>
            </a:solidFill>
            <a:ln w="25400">
              <a:noFill/>
            </a:ln>
          </c:spPr>
          <c:invertIfNegative val="0"/>
          <c:cat>
            <c:multiLvlStrRef>
              <c:f>Sheet1!$A$6:$B$43</c:f>
              <c:multiLvlStrCache>
                <c:ptCount val="38"/>
                <c:lvl>
                  <c:pt idx="0">
                    <c:v>იან</c:v>
                  </c:pt>
                  <c:pt idx="1">
                    <c:v>თებ</c:v>
                  </c:pt>
                  <c:pt idx="2">
                    <c:v>მარ</c:v>
                  </c:pt>
                  <c:pt idx="3">
                    <c:v>აპრ</c:v>
                  </c:pt>
                  <c:pt idx="4">
                    <c:v>მაი</c:v>
                  </c:pt>
                  <c:pt idx="5">
                    <c:v>ივნ</c:v>
                  </c:pt>
                  <c:pt idx="6">
                    <c:v>ივლ</c:v>
                  </c:pt>
                  <c:pt idx="7">
                    <c:v>აგვ</c:v>
                  </c:pt>
                  <c:pt idx="8">
                    <c:v>სექ</c:v>
                  </c:pt>
                  <c:pt idx="9">
                    <c:v>ოქტ</c:v>
                  </c:pt>
                  <c:pt idx="10">
                    <c:v>ნოე</c:v>
                  </c:pt>
                  <c:pt idx="11">
                    <c:v>დეკ</c:v>
                  </c:pt>
                  <c:pt idx="12">
                    <c:v>იან</c:v>
                  </c:pt>
                  <c:pt idx="13">
                    <c:v>თებ</c:v>
                  </c:pt>
                  <c:pt idx="14">
                    <c:v>მარ</c:v>
                  </c:pt>
                  <c:pt idx="15">
                    <c:v>აპრ</c:v>
                  </c:pt>
                  <c:pt idx="16">
                    <c:v>მაი</c:v>
                  </c:pt>
                  <c:pt idx="17">
                    <c:v>ივნ</c:v>
                  </c:pt>
                  <c:pt idx="18">
                    <c:v>ივლ</c:v>
                  </c:pt>
                  <c:pt idx="19">
                    <c:v>აგვ</c:v>
                  </c:pt>
                  <c:pt idx="20">
                    <c:v>სექ</c:v>
                  </c:pt>
                  <c:pt idx="21">
                    <c:v>ოქტ</c:v>
                  </c:pt>
                  <c:pt idx="22">
                    <c:v>ნოე</c:v>
                  </c:pt>
                  <c:pt idx="23">
                    <c:v>დეკ</c:v>
                  </c:pt>
                  <c:pt idx="24">
                    <c:v>იან</c:v>
                  </c:pt>
                  <c:pt idx="25">
                    <c:v>თებ</c:v>
                  </c:pt>
                  <c:pt idx="26">
                    <c:v>მარ</c:v>
                  </c:pt>
                  <c:pt idx="27">
                    <c:v>აპრ</c:v>
                  </c:pt>
                  <c:pt idx="28">
                    <c:v>მაი</c:v>
                  </c:pt>
                  <c:pt idx="29">
                    <c:v>ივნ</c:v>
                  </c:pt>
                  <c:pt idx="30">
                    <c:v>ივლ</c:v>
                  </c:pt>
                  <c:pt idx="31">
                    <c:v>აგვ</c:v>
                  </c:pt>
                  <c:pt idx="32">
                    <c:v>სექ</c:v>
                  </c:pt>
                  <c:pt idx="33">
                    <c:v>ოქტ</c:v>
                  </c:pt>
                  <c:pt idx="34">
                    <c:v>ნოე</c:v>
                  </c:pt>
                  <c:pt idx="35">
                    <c:v>დეკ</c:v>
                  </c:pt>
                  <c:pt idx="36">
                    <c:v>იან</c:v>
                  </c:pt>
                  <c:pt idx="37">
                    <c:v>თებ</c:v>
                  </c:pt>
                </c:lvl>
                <c:lvl>
                  <c:pt idx="0">
                    <c:v>2015</c:v>
                  </c:pt>
                  <c:pt idx="12">
                    <c:v>2016</c:v>
                  </c:pt>
                  <c:pt idx="24">
                    <c:v>2017</c:v>
                  </c:pt>
                  <c:pt idx="36">
                    <c:v>2018</c:v>
                  </c:pt>
                </c:lvl>
              </c:multiLvlStrCache>
            </c:multiLvlStrRef>
          </c:cat>
          <c:val>
            <c:numRef>
              <c:f>Sheet1!$C$6:$C$43</c:f>
              <c:numCache>
                <c:formatCode>0.0%</c:formatCode>
                <c:ptCount val="38"/>
                <c:pt idx="0">
                  <c:v>5.0000000000000001E-3</c:v>
                </c:pt>
                <c:pt idx="1">
                  <c:v>4.9000000000000002E-2</c:v>
                </c:pt>
                <c:pt idx="2">
                  <c:v>4.2999999999999997E-2</c:v>
                </c:pt>
                <c:pt idx="3">
                  <c:v>8.9999999999999993E-3</c:v>
                </c:pt>
                <c:pt idx="4">
                  <c:v>2.1000000000000001E-2</c:v>
                </c:pt>
                <c:pt idx="5">
                  <c:v>3.1E-2</c:v>
                </c:pt>
                <c:pt idx="6">
                  <c:v>0.03</c:v>
                </c:pt>
                <c:pt idx="7">
                  <c:v>2.3E-2</c:v>
                </c:pt>
                <c:pt idx="8">
                  <c:v>2.1999999999999999E-2</c:v>
                </c:pt>
                <c:pt idx="9">
                  <c:v>0.03</c:v>
                </c:pt>
                <c:pt idx="10">
                  <c:v>5.2999999999999999E-2</c:v>
                </c:pt>
                <c:pt idx="11">
                  <c:v>3.0000000000000001E-3</c:v>
                </c:pt>
                <c:pt idx="12">
                  <c:v>8.0000000000000002E-3</c:v>
                </c:pt>
                <c:pt idx="13">
                  <c:v>2.5999999999999999E-2</c:v>
                </c:pt>
                <c:pt idx="14">
                  <c:v>3.4000000000000002E-2</c:v>
                </c:pt>
                <c:pt idx="15">
                  <c:v>4.2999999999999997E-2</c:v>
                </c:pt>
                <c:pt idx="16">
                  <c:v>2.1000000000000001E-2</c:v>
                </c:pt>
                <c:pt idx="17">
                  <c:v>2.9000000000000001E-2</c:v>
                </c:pt>
                <c:pt idx="18">
                  <c:v>2.1000000000000001E-2</c:v>
                </c:pt>
                <c:pt idx="19">
                  <c:v>2.9000000000000001E-2</c:v>
                </c:pt>
                <c:pt idx="20">
                  <c:v>1.4999999999999999E-2</c:v>
                </c:pt>
                <c:pt idx="21">
                  <c:v>1.2999999999999999E-2</c:v>
                </c:pt>
                <c:pt idx="22">
                  <c:v>0.02</c:v>
                </c:pt>
                <c:pt idx="23">
                  <c:v>3.0000000000000001E-3</c:v>
                </c:pt>
                <c:pt idx="24">
                  <c:v>5.1999999999999998E-2</c:v>
                </c:pt>
                <c:pt idx="25">
                  <c:v>4.3999999999999997E-2</c:v>
                </c:pt>
                <c:pt idx="26">
                  <c:v>5.2999999999999999E-2</c:v>
                </c:pt>
                <c:pt idx="27">
                  <c:v>2.1000000000000001E-2</c:v>
                </c:pt>
                <c:pt idx="28">
                  <c:v>5.2999999999999999E-2</c:v>
                </c:pt>
                <c:pt idx="29">
                  <c:v>4.5999999999999999E-2</c:v>
                </c:pt>
                <c:pt idx="30">
                  <c:v>3.7999999999999999E-2</c:v>
                </c:pt>
                <c:pt idx="31">
                  <c:v>4.2999999999999997E-2</c:v>
                </c:pt>
                <c:pt idx="32">
                  <c:v>0.05</c:v>
                </c:pt>
                <c:pt idx="33">
                  <c:v>5.7000000000000002E-2</c:v>
                </c:pt>
                <c:pt idx="34">
                  <c:v>3.6999999999999998E-2</c:v>
                </c:pt>
                <c:pt idx="35">
                  <c:v>4.7E-2</c:v>
                </c:pt>
                <c:pt idx="36" formatCode="0.00%">
                  <c:v>4.3999999999999997E-2</c:v>
                </c:pt>
                <c:pt idx="37" formatCode="0.00%">
                  <c:v>5.5E-2</c:v>
                </c:pt>
              </c:numCache>
            </c:numRef>
          </c:val>
          <c:extLst xmlns:c16r2="http://schemas.microsoft.com/office/drawing/2015/06/chart">
            <c:ext xmlns:c16="http://schemas.microsoft.com/office/drawing/2014/chart" uri="{C3380CC4-5D6E-409C-BE32-E72D297353CC}">
              <c16:uniqueId val="{00000000-3D79-4CFB-8D27-84B35104E39D}"/>
            </c:ext>
          </c:extLst>
        </c:ser>
        <c:dLbls>
          <c:showLegendKey val="0"/>
          <c:showVal val="0"/>
          <c:showCatName val="0"/>
          <c:showSerName val="0"/>
          <c:showPercent val="0"/>
          <c:showBubbleSize val="0"/>
        </c:dLbls>
        <c:gapWidth val="21"/>
        <c:overlap val="20"/>
        <c:axId val="-1466638832"/>
        <c:axId val="-1466643184"/>
      </c:barChart>
      <c:scatterChart>
        <c:scatterStyle val="lineMarker"/>
        <c:varyColors val="0"/>
        <c:ser>
          <c:idx val="1"/>
          <c:order val="1"/>
          <c:tx>
            <c:strRef>
              <c:f>Sheet1!$D$5</c:f>
              <c:strCache>
                <c:ptCount val="1"/>
                <c:pt idx="0">
                  <c:v> წლიური ზრდა, %</c:v>
                </c:pt>
              </c:strCache>
            </c:strRef>
          </c:tx>
          <c:spPr>
            <a:ln w="12700">
              <a:solidFill>
                <a:srgbClr val="FF00FF"/>
              </a:solidFill>
              <a:prstDash val="solid"/>
            </a:ln>
          </c:spPr>
          <c:marker>
            <c:symbol val="triangle"/>
            <c:size val="5"/>
            <c:spPr>
              <a:solidFill>
                <a:schemeClr val="accent2"/>
              </a:solidFill>
              <a:ln w="9525">
                <a:solidFill>
                  <a:schemeClr val="accent2"/>
                </a:solidFill>
              </a:ln>
              <a:effectLst/>
            </c:spPr>
          </c:marker>
          <c:dPt>
            <c:idx val="4"/>
            <c:marker>
              <c:symbol val="triangle"/>
              <c:size val="8"/>
            </c:marker>
            <c:bubble3D val="0"/>
            <c:extLst xmlns:c16r2="http://schemas.microsoft.com/office/drawing/2015/06/chart">
              <c:ext xmlns:c16="http://schemas.microsoft.com/office/drawing/2014/chart" uri="{C3380CC4-5D6E-409C-BE32-E72D297353CC}">
                <c16:uniqueId val="{00000001-3D79-4CFB-8D27-84B35104E39D}"/>
              </c:ext>
            </c:extLst>
          </c:dPt>
          <c:dPt>
            <c:idx val="16"/>
            <c:marker>
              <c:symbol val="triangle"/>
              <c:size val="8"/>
            </c:marker>
            <c:bubble3D val="0"/>
            <c:extLst xmlns:c16r2="http://schemas.microsoft.com/office/drawing/2015/06/chart">
              <c:ext xmlns:c16="http://schemas.microsoft.com/office/drawing/2014/chart" uri="{C3380CC4-5D6E-409C-BE32-E72D297353CC}">
                <c16:uniqueId val="{00000002-3D79-4CFB-8D27-84B35104E39D}"/>
              </c:ext>
            </c:extLst>
          </c:dPt>
          <c:dPt>
            <c:idx val="26"/>
            <c:marker>
              <c:symbol val="triangle"/>
              <c:size val="8"/>
            </c:marker>
            <c:bubble3D val="0"/>
            <c:extLst xmlns:c16r2="http://schemas.microsoft.com/office/drawing/2015/06/chart">
              <c:ext xmlns:c16="http://schemas.microsoft.com/office/drawing/2014/chart" uri="{C3380CC4-5D6E-409C-BE32-E72D297353CC}">
                <c16:uniqueId val="{00000003-3D79-4CFB-8D27-84B35104E39D}"/>
              </c:ext>
            </c:extLst>
          </c:dPt>
          <c:dPt>
            <c:idx val="27"/>
            <c:marker>
              <c:symbol val="triangle"/>
              <c:size val="8"/>
            </c:marker>
            <c:bubble3D val="0"/>
            <c:extLst xmlns:c16r2="http://schemas.microsoft.com/office/drawing/2015/06/chart">
              <c:ext xmlns:c16="http://schemas.microsoft.com/office/drawing/2014/chart" uri="{C3380CC4-5D6E-409C-BE32-E72D297353CC}">
                <c16:uniqueId val="{00000004-3D79-4CFB-8D27-84B35104E39D}"/>
              </c:ext>
            </c:extLst>
          </c:dPt>
          <c:dLbls>
            <c:dLbl>
              <c:idx val="26"/>
              <c:tx>
                <c:rich>
                  <a:bodyPr/>
                  <a:lstStyle/>
                  <a:p>
                    <a:pPr>
                      <a:defRPr sz="1100" b="1" i="0" u="none" strike="noStrike" baseline="0">
                        <a:solidFill>
                          <a:srgbClr val="333333"/>
                        </a:solidFill>
                        <a:latin typeface="Calibri"/>
                        <a:ea typeface="Calibri"/>
                        <a:cs typeface="Calibri"/>
                      </a:defRPr>
                    </a:pPr>
                    <a:r>
                      <a:rPr lang="en-US"/>
                      <a:t>4.7%</a:t>
                    </a:r>
                  </a:p>
                </c:rich>
              </c:tx>
              <c:spPr>
                <a:noFill/>
                <a:ln w="25400">
                  <a:noFill/>
                </a:ln>
              </c:spPr>
              <c:dLblPos val="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3D79-4CFB-8D27-84B35104E39D}"/>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1100" b="1" i="0" u="none" strike="noStrike" baseline="0">
                    <a:solidFill>
                      <a:srgbClr val="333333"/>
                    </a:solidFill>
                    <a:latin typeface="Calibri"/>
                    <a:ea typeface="Calibri"/>
                    <a:cs typeface="Calibri"/>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multiLvlStrRef>
              <c:f>'[Copy of tvis zrda.xls]Sheet1'!$A$6:$B$41</c:f>
              <c:multiLvlStrCache>
                <c:ptCount val="36"/>
                <c:lvl>
                  <c:pt idx="0">
                    <c:v>იან</c:v>
                  </c:pt>
                  <c:pt idx="1">
                    <c:v>თებ</c:v>
                  </c:pt>
                  <c:pt idx="2">
                    <c:v>მარ</c:v>
                  </c:pt>
                  <c:pt idx="3">
                    <c:v>აპრ</c:v>
                  </c:pt>
                  <c:pt idx="4">
                    <c:v>მაი</c:v>
                  </c:pt>
                  <c:pt idx="5">
                    <c:v>ივნ</c:v>
                  </c:pt>
                  <c:pt idx="6">
                    <c:v>ივლ</c:v>
                  </c:pt>
                  <c:pt idx="7">
                    <c:v>აგვ</c:v>
                  </c:pt>
                  <c:pt idx="8">
                    <c:v>სექ</c:v>
                  </c:pt>
                  <c:pt idx="9">
                    <c:v>ოქტ</c:v>
                  </c:pt>
                  <c:pt idx="10">
                    <c:v>ნოე</c:v>
                  </c:pt>
                  <c:pt idx="11">
                    <c:v>დეკ</c:v>
                  </c:pt>
                  <c:pt idx="12">
                    <c:v>იან</c:v>
                  </c:pt>
                  <c:pt idx="13">
                    <c:v>თებ</c:v>
                  </c:pt>
                  <c:pt idx="14">
                    <c:v>მარ</c:v>
                  </c:pt>
                  <c:pt idx="15">
                    <c:v>აპრ</c:v>
                  </c:pt>
                  <c:pt idx="16">
                    <c:v>მაი</c:v>
                  </c:pt>
                  <c:pt idx="17">
                    <c:v>ივნ</c:v>
                  </c:pt>
                  <c:pt idx="18">
                    <c:v>ივლ</c:v>
                  </c:pt>
                  <c:pt idx="19">
                    <c:v>აგვ</c:v>
                  </c:pt>
                  <c:pt idx="20">
                    <c:v>სექ</c:v>
                  </c:pt>
                  <c:pt idx="21">
                    <c:v>ოქტ</c:v>
                  </c:pt>
                  <c:pt idx="22">
                    <c:v>ნოე</c:v>
                  </c:pt>
                  <c:pt idx="23">
                    <c:v>დეკ</c:v>
                  </c:pt>
                  <c:pt idx="24">
                    <c:v>იან</c:v>
                  </c:pt>
                  <c:pt idx="25">
                    <c:v>თებ</c:v>
                  </c:pt>
                  <c:pt idx="26">
                    <c:v>მარ</c:v>
                  </c:pt>
                  <c:pt idx="27">
                    <c:v>აპრ</c:v>
                  </c:pt>
                  <c:pt idx="28">
                    <c:v>მაი</c:v>
                  </c:pt>
                  <c:pt idx="29">
                    <c:v>ივნ</c:v>
                  </c:pt>
                  <c:pt idx="30">
                    <c:v>ივლ</c:v>
                  </c:pt>
                  <c:pt idx="31">
                    <c:v>აგვ</c:v>
                  </c:pt>
                  <c:pt idx="32">
                    <c:v>სექ</c:v>
                  </c:pt>
                  <c:pt idx="33">
                    <c:v>ოქტ</c:v>
                  </c:pt>
                  <c:pt idx="34">
                    <c:v>ნოე</c:v>
                  </c:pt>
                  <c:pt idx="35">
                    <c:v>დეკ</c:v>
                  </c:pt>
                </c:lvl>
                <c:lvl>
                  <c:pt idx="0">
                    <c:v>2015</c:v>
                  </c:pt>
                  <c:pt idx="12">
                    <c:v>2016</c:v>
                  </c:pt>
                  <c:pt idx="24">
                    <c:v>2017</c:v>
                  </c:pt>
                </c:lvl>
              </c:multiLvlStrCache>
            </c:multiLvlStrRef>
          </c:xVal>
          <c:yVal>
            <c:numRef>
              <c:f>Sheet1!$D$7:$D$41</c:f>
              <c:numCache>
                <c:formatCode>General</c:formatCode>
                <c:ptCount val="35"/>
                <c:pt idx="4" formatCode="0.0%">
                  <c:v>2.9000000000000001E-2</c:v>
                </c:pt>
                <c:pt idx="16" formatCode="0.0%">
                  <c:v>2.8000000000000001E-2</c:v>
                </c:pt>
                <c:pt idx="29" formatCode="0.0%">
                  <c:v>4.8000000000000001E-2</c:v>
                </c:pt>
              </c:numCache>
            </c:numRef>
          </c:yVal>
          <c:smooth val="0"/>
          <c:extLst xmlns:c16r2="http://schemas.microsoft.com/office/drawing/2015/06/chart">
            <c:ext xmlns:c16="http://schemas.microsoft.com/office/drawing/2014/chart" uri="{C3380CC4-5D6E-409C-BE32-E72D297353CC}">
              <c16:uniqueId val="{00000005-3D79-4CFB-8D27-84B35104E39D}"/>
            </c:ext>
          </c:extLst>
        </c:ser>
        <c:dLbls>
          <c:showLegendKey val="0"/>
          <c:showVal val="0"/>
          <c:showCatName val="0"/>
          <c:showSerName val="0"/>
          <c:showPercent val="0"/>
          <c:showBubbleSize val="0"/>
        </c:dLbls>
        <c:axId val="-1466638832"/>
        <c:axId val="-1466643184"/>
      </c:scatterChart>
      <c:catAx>
        <c:axId val="-146663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vert="horz"/>
          <a:lstStyle/>
          <a:p>
            <a:pPr>
              <a:defRPr sz="900" b="0" i="0" u="none" strike="noStrike" baseline="0">
                <a:solidFill>
                  <a:srgbClr val="333333"/>
                </a:solidFill>
                <a:latin typeface="Calibri"/>
                <a:ea typeface="Calibri"/>
                <a:cs typeface="Calibri"/>
              </a:defRPr>
            </a:pPr>
            <a:endParaRPr lang="en-US"/>
          </a:p>
        </c:txPr>
        <c:crossAx val="-1466643184"/>
        <c:crosses val="autoZero"/>
        <c:auto val="1"/>
        <c:lblAlgn val="ctr"/>
        <c:lblOffset val="100"/>
        <c:tickLblSkip val="1"/>
        <c:noMultiLvlLbl val="0"/>
      </c:catAx>
      <c:valAx>
        <c:axId val="-1466643184"/>
        <c:scaling>
          <c:orientation val="minMax"/>
        </c:scaling>
        <c:delete val="0"/>
        <c:axPos val="l"/>
        <c:numFmt formatCode="0.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n-US"/>
          </a:p>
        </c:txPr>
        <c:crossAx val="-1466638832"/>
        <c:crossesAt val="1"/>
        <c:crossBetween val="between"/>
      </c:valAx>
      <c:spPr>
        <a:noFill/>
        <a:ln w="25400">
          <a:noFill/>
        </a:ln>
      </c:spPr>
    </c:plotArea>
    <c:legend>
      <c:legendPos val="b"/>
      <c:overlay val="0"/>
      <c:spPr>
        <a:noFill/>
        <a:ln w="25400">
          <a:noFill/>
        </a:ln>
      </c:spPr>
      <c:txPr>
        <a:bodyPr/>
        <a:lstStyle/>
        <a:p>
          <a:pPr>
            <a:defRPr sz="75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ka-GE" sz="1199" b="0" i="0" u="none" strike="noStrike" kern="1200" cap="all" spc="0" normalizeH="0" baseline="0" dirty="0">
                <a:solidFill>
                  <a:prstClr val="black">
                    <a:lumMod val="65000"/>
                    <a:lumOff val="35000"/>
                  </a:prstClr>
                </a:solidFill>
                <a:latin typeface="BPG Mrgvlovani Caps 2010" panose="02000503000000020004" pitchFamily="2" charset="0"/>
                <a:ea typeface="+mn-ea"/>
                <a:cs typeface="+mn-cs"/>
              </a:defRPr>
            </a:pPr>
            <a:r>
              <a:rPr lang="ka-GE" sz="1199" b="1" i="0" u="none" strike="noStrike" kern="1200" spc="0" baseline="0" dirty="0">
                <a:solidFill>
                  <a:prstClr val="black">
                    <a:lumMod val="65000"/>
                    <a:lumOff val="35000"/>
                  </a:prstClr>
                </a:solidFill>
                <a:latin typeface="BPG Mrgvlovani Caps 2010" panose="02000503000000020004" pitchFamily="2" charset="0"/>
                <a:ea typeface="+mn-ea"/>
                <a:cs typeface="Calibri" panose="020F0502020204030204" pitchFamily="34" charset="0"/>
              </a:rPr>
              <a:t>უმუშევრობის დონე</a:t>
            </a:r>
          </a:p>
        </c:rich>
      </c:tx>
      <c:layout>
        <c:manualLayout>
          <c:xMode val="edge"/>
          <c:yMode val="edge"/>
          <c:x val="0.37704141149023002"/>
          <c:y val="7.1723127632301797E-3"/>
        </c:manualLayout>
      </c:layout>
      <c:overlay val="0"/>
      <c:spPr>
        <a:noFill/>
        <a:ln>
          <a:noFill/>
        </a:ln>
        <a:effectLst/>
      </c:spPr>
    </c:title>
    <c:autoTitleDeleted val="0"/>
    <c:plotArea>
      <c:layout>
        <c:manualLayout>
          <c:layoutTarget val="inner"/>
          <c:xMode val="edge"/>
          <c:yMode val="edge"/>
          <c:x val="9.33024997338643E-2"/>
          <c:y val="0.19405066474115101"/>
          <c:w val="0.90669750026613605"/>
          <c:h val="0.701737731567457"/>
        </c:manualLayout>
      </c:layout>
      <c:lineChart>
        <c:grouping val="stacked"/>
        <c:varyColors val="0"/>
        <c:ser>
          <c:idx val="0"/>
          <c:order val="0"/>
          <c:tx>
            <c:strRef>
              <c:f>Sheet1!$B$1</c:f>
              <c:strCache>
                <c:ptCount val="1"/>
                <c:pt idx="0">
                  <c:v>უმუშევრობის დონე</c:v>
                </c:pt>
              </c:strCache>
            </c:strRef>
          </c:tx>
          <c:spPr>
            <a:ln w="22201" cap="rnd">
              <a:solidFill>
                <a:schemeClr val="accent1"/>
              </a:solidFill>
              <a:round/>
            </a:ln>
            <a:effectLst/>
          </c:spPr>
          <c:marker>
            <c:symbol val="diamond"/>
            <c:size val="5"/>
            <c:spPr>
              <a:solidFill>
                <a:schemeClr val="accent1"/>
              </a:solidFill>
              <a:ln w="951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50000"/>
                        <a:lumOff val="50000"/>
                      </a:schemeClr>
                    </a:solidFill>
                    <a:latin typeface="Sylfaen" panose="010A0502050306030303" pitchFamily="18" charset="0"/>
                    <a:ea typeface="DejaVu Sans" panose="020B0603030804020204" pitchFamily="34" charset="0"/>
                    <a:cs typeface="DejaVu Sans" panose="020B0603030804020204" pitchFamily="34"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Sheet1!$A$2:$A$9</c:f>
              <c:numCache>
                <c:formatCode>General</c:formatCode>
                <c:ptCount val="8"/>
                <c:pt idx="0">
                  <c:v>2009</c:v>
                </c:pt>
                <c:pt idx="1">
                  <c:v>2010</c:v>
                </c:pt>
                <c:pt idx="2">
                  <c:v>2011</c:v>
                </c:pt>
                <c:pt idx="3">
                  <c:v>2012</c:v>
                </c:pt>
                <c:pt idx="4">
                  <c:v>2013</c:v>
                </c:pt>
                <c:pt idx="5">
                  <c:v>2014</c:v>
                </c:pt>
                <c:pt idx="6">
                  <c:v>2015</c:v>
                </c:pt>
                <c:pt idx="7">
                  <c:v>2016</c:v>
                </c:pt>
              </c:numCache>
            </c:numRef>
          </c:cat>
          <c:val>
            <c:numRef>
              <c:f>Sheet1!$B$2:$B$9</c:f>
              <c:numCache>
                <c:formatCode>0.0%</c:formatCode>
                <c:ptCount val="8"/>
                <c:pt idx="0">
                  <c:v>0.16850474725814099</c:v>
                </c:pt>
                <c:pt idx="1">
                  <c:v>0.16291481159054499</c:v>
                </c:pt>
                <c:pt idx="2">
                  <c:v>0.15061703172632099</c:v>
                </c:pt>
                <c:pt idx="3">
                  <c:v>0.150342976337975</c:v>
                </c:pt>
                <c:pt idx="4">
                  <c:v>0.14563156645397499</c:v>
                </c:pt>
                <c:pt idx="5">
                  <c:v>0.123526169369573</c:v>
                </c:pt>
                <c:pt idx="6">
                  <c:v>0.119504552784874</c:v>
                </c:pt>
                <c:pt idx="7">
                  <c:v>0.11799999999999999</c:v>
                </c:pt>
              </c:numCache>
            </c:numRef>
          </c:val>
          <c:smooth val="0"/>
          <c:extLst xmlns:c16r2="http://schemas.microsoft.com/office/drawing/2015/06/chart">
            <c:ext xmlns:c16="http://schemas.microsoft.com/office/drawing/2014/chart" uri="{C3380CC4-5D6E-409C-BE32-E72D297353CC}">
              <c16:uniqueId val="{00000000-86C9-42D0-92AC-6E4C638A8985}"/>
            </c:ext>
          </c:extLst>
        </c:ser>
        <c:dLbls>
          <c:showLegendKey val="0"/>
          <c:showVal val="0"/>
          <c:showCatName val="0"/>
          <c:showSerName val="0"/>
          <c:showPercent val="0"/>
          <c:showBubbleSize val="0"/>
        </c:dLbls>
        <c:marker val="1"/>
        <c:smooth val="0"/>
        <c:axId val="-1505177600"/>
        <c:axId val="-1505179776"/>
      </c:lineChart>
      <c:catAx>
        <c:axId val="-1505177600"/>
        <c:scaling>
          <c:orientation val="minMax"/>
        </c:scaling>
        <c:delete val="0"/>
        <c:axPos val="b"/>
        <c:numFmt formatCode="General" sourceLinked="1"/>
        <c:majorTickMark val="none"/>
        <c:minorTickMark val="none"/>
        <c:tickLblPos val="nextTo"/>
        <c:spPr>
          <a:noFill/>
          <a:ln w="951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Sylfaen" panose="010A0502050306030303" pitchFamily="18" charset="0"/>
                <a:ea typeface="DejaVu Sans" panose="020B0603030804020204" pitchFamily="34" charset="2"/>
                <a:cs typeface="DejaVu Sans" panose="020B0603030804020204" pitchFamily="34" charset="2"/>
              </a:defRPr>
            </a:pPr>
            <a:endParaRPr lang="en-US"/>
          </a:p>
        </c:txPr>
        <c:crossAx val="-1505179776"/>
        <c:crosses val="autoZero"/>
        <c:auto val="1"/>
        <c:lblAlgn val="ctr"/>
        <c:lblOffset val="100"/>
        <c:noMultiLvlLbl val="0"/>
      </c:catAx>
      <c:valAx>
        <c:axId val="-1505179776"/>
        <c:scaling>
          <c:orientation val="minMax"/>
          <c:min val="0.08"/>
        </c:scaling>
        <c:delete val="1"/>
        <c:axPos val="l"/>
        <c:numFmt formatCode="0.0%" sourceLinked="1"/>
        <c:majorTickMark val="out"/>
        <c:minorTickMark val="none"/>
        <c:tickLblPos val="nextTo"/>
        <c:crossAx val="-1505177600"/>
        <c:crosses val="autoZero"/>
        <c:crossBetween val="between"/>
      </c:valAx>
      <c:spPr>
        <a:noFill/>
        <a:ln w="25373">
          <a:noFill/>
        </a:ln>
      </c:spPr>
    </c:plotArea>
    <c:plotVisOnly val="1"/>
    <c:dispBlanksAs val="gap"/>
    <c:showDLblsOverMax val="0"/>
  </c:chart>
  <c:spPr>
    <a:noFill/>
    <a:ln>
      <a:noFill/>
    </a:ln>
    <a:effectLst/>
  </c:spPr>
  <c:txPr>
    <a:bodyPr/>
    <a:lstStyle/>
    <a:p>
      <a:pPr>
        <a:defRPr>
          <a:latin typeface="DejaVu Sans" panose="020B0603030804020204" pitchFamily="34" charset="0"/>
          <a:ea typeface="DejaVu Sans" panose="020B0603030804020204" pitchFamily="34" charset="0"/>
          <a:cs typeface="DejaVu Sans" panose="020B0603030804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Sylfaen" panose="010A0502050306030303" pitchFamily="18" charset="0"/>
                <a:ea typeface="+mn-ea"/>
                <a:cs typeface="+mn-cs"/>
              </a:defRPr>
            </a:pPr>
            <a:r>
              <a:rPr lang="en-US" sz="1100" b="1">
                <a:solidFill>
                  <a:schemeClr val="tx1">
                    <a:lumMod val="65000"/>
                    <a:lumOff val="35000"/>
                  </a:schemeClr>
                </a:solidFill>
                <a:latin typeface="Sylfaen" panose="010A0502050306030303" pitchFamily="18" charset="0"/>
              </a:rPr>
              <a:t>201</a:t>
            </a:r>
            <a:r>
              <a:rPr lang="ka-GE" sz="1100" b="1">
                <a:solidFill>
                  <a:schemeClr val="tx1">
                    <a:lumMod val="65000"/>
                    <a:lumOff val="35000"/>
                  </a:schemeClr>
                </a:solidFill>
                <a:latin typeface="Sylfaen" panose="010A0502050306030303" pitchFamily="18" charset="0"/>
              </a:rPr>
              <a:t>8</a:t>
            </a:r>
            <a:r>
              <a:rPr lang="ka-GE" sz="1100" b="1" baseline="0">
                <a:solidFill>
                  <a:schemeClr val="tx1">
                    <a:lumMod val="65000"/>
                    <a:lumOff val="35000"/>
                  </a:schemeClr>
                </a:solidFill>
                <a:latin typeface="Sylfaen" panose="010A0502050306030303" pitchFamily="18" charset="0"/>
              </a:rPr>
              <a:t> წლის </a:t>
            </a:r>
            <a:r>
              <a:rPr lang="ka-GE" sz="1100" b="1">
                <a:solidFill>
                  <a:schemeClr val="tx1">
                    <a:lumMod val="65000"/>
                    <a:lumOff val="35000"/>
                  </a:schemeClr>
                </a:solidFill>
                <a:latin typeface="Sylfaen" panose="010A0502050306030303" pitchFamily="18" charset="0"/>
              </a:rPr>
              <a:t>ეკონომიკური ზრდის პროგნოზი (</a:t>
            </a:r>
            <a:r>
              <a:rPr lang="en-US" sz="1100" b="1">
                <a:solidFill>
                  <a:schemeClr val="tx1">
                    <a:lumMod val="65000"/>
                    <a:lumOff val="35000"/>
                  </a:schemeClr>
                </a:solidFill>
                <a:latin typeface="Sylfaen" panose="010A0502050306030303" pitchFamily="18" charset="0"/>
              </a:rPr>
              <a:t>IMF</a:t>
            </a:r>
            <a:r>
              <a:rPr lang="ka-GE" sz="1100" b="1">
                <a:solidFill>
                  <a:schemeClr val="tx1">
                    <a:lumMod val="65000"/>
                    <a:lumOff val="35000"/>
                  </a:schemeClr>
                </a:solidFill>
                <a:latin typeface="Sylfaen" panose="010A0502050306030303" pitchFamily="18" charset="0"/>
              </a:rPr>
              <a:t>)</a:t>
            </a:r>
          </a:p>
        </c:rich>
      </c:tx>
      <c:layout>
        <c:manualLayout>
          <c:xMode val="edge"/>
          <c:yMode val="edge"/>
          <c:x val="0.25758575182536098"/>
          <c:y val="2.9609677283142299E-2"/>
        </c:manualLayout>
      </c:layout>
      <c:overlay val="0"/>
      <c:spPr>
        <a:noFill/>
        <a:ln>
          <a:noFill/>
        </a:ln>
        <a:effectLst/>
      </c:spPr>
    </c:title>
    <c:autoTitleDeleted val="0"/>
    <c:plotArea>
      <c:layout>
        <c:manualLayout>
          <c:layoutTarget val="inner"/>
          <c:xMode val="edge"/>
          <c:yMode val="edge"/>
          <c:x val="2.3926046764545902E-2"/>
          <c:y val="0.18910228472363499"/>
          <c:w val="0.95606561422721303"/>
          <c:h val="0.56213563257863797"/>
        </c:manualLayout>
      </c:layout>
      <c:barChart>
        <c:barDir val="col"/>
        <c:grouping val="clustered"/>
        <c:varyColors val="0"/>
        <c:ser>
          <c:idx val="0"/>
          <c:order val="0"/>
          <c:tx>
            <c:strRef>
              <c:f>Sheet1!$B$1</c:f>
              <c:strCache>
                <c:ptCount val="1"/>
                <c:pt idx="0">
                  <c:v>IMF</c:v>
                </c:pt>
              </c:strCache>
            </c:strRef>
          </c:tx>
          <c:spPr>
            <a:solidFill>
              <a:schemeClr val="accent1"/>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0-D195-4EC5-83A8-514E2D11230F}"/>
              </c:ext>
            </c:extLst>
          </c:dPt>
          <c:dLbls>
            <c:dLbl>
              <c:idx val="3"/>
              <c:layout>
                <c:manualLayout>
                  <c:x val="-3.96825396825404E-3"/>
                  <c:y val="-4.51777268298394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195-4EC5-83A8-514E2D11230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საქართველო</c:v>
                </c:pt>
                <c:pt idx="1">
                  <c:v>თურქეთი </c:v>
                </c:pt>
                <c:pt idx="2">
                  <c:v>უკრაინა</c:v>
                </c:pt>
                <c:pt idx="3">
                  <c:v>სომხეთი</c:v>
                </c:pt>
                <c:pt idx="4">
                  <c:v>რუსეთი</c:v>
                </c:pt>
                <c:pt idx="5">
                  <c:v>აზერბაიჯანი</c:v>
                </c:pt>
                <c:pt idx="6">
                  <c:v>ბელორუსია</c:v>
                </c:pt>
              </c:strCache>
            </c:strRef>
          </c:cat>
          <c:val>
            <c:numRef>
              <c:f>Sheet1!$B$2:$B$8</c:f>
              <c:numCache>
                <c:formatCode>0.0%</c:formatCode>
                <c:ptCount val="7"/>
                <c:pt idx="0">
                  <c:v>4.2000000000000003E-2</c:v>
                </c:pt>
                <c:pt idx="1">
                  <c:v>3.5000000000000003E-2</c:v>
                </c:pt>
                <c:pt idx="2">
                  <c:v>3.2000000000000001E-2</c:v>
                </c:pt>
                <c:pt idx="3">
                  <c:v>2.9000000000000001E-2</c:v>
                </c:pt>
                <c:pt idx="4">
                  <c:v>1.6E-2</c:v>
                </c:pt>
                <c:pt idx="5">
                  <c:v>1.2999999999999999E-2</c:v>
                </c:pt>
                <c:pt idx="6">
                  <c:v>7.0000000000000001E-3</c:v>
                </c:pt>
              </c:numCache>
            </c:numRef>
          </c:val>
          <c:extLst xmlns:c16r2="http://schemas.microsoft.com/office/drawing/2015/06/chart">
            <c:ext xmlns:c16="http://schemas.microsoft.com/office/drawing/2014/chart" uri="{C3380CC4-5D6E-409C-BE32-E72D297353CC}">
              <c16:uniqueId val="{00000002-D195-4EC5-83A8-514E2D11230F}"/>
            </c:ext>
          </c:extLst>
        </c:ser>
        <c:dLbls>
          <c:showLegendKey val="0"/>
          <c:showVal val="0"/>
          <c:showCatName val="0"/>
          <c:showSerName val="0"/>
          <c:showPercent val="0"/>
          <c:showBubbleSize val="0"/>
        </c:dLbls>
        <c:gapWidth val="219"/>
        <c:overlap val="-27"/>
        <c:axId val="-1466634480"/>
        <c:axId val="-1466635024"/>
      </c:barChart>
      <c:catAx>
        <c:axId val="-14666344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635024"/>
        <c:crosses val="autoZero"/>
        <c:auto val="1"/>
        <c:lblAlgn val="ctr"/>
        <c:lblOffset val="100"/>
        <c:noMultiLvlLbl val="0"/>
      </c:catAx>
      <c:valAx>
        <c:axId val="-1466635024"/>
        <c:scaling>
          <c:orientation val="minMax"/>
        </c:scaling>
        <c:delete val="1"/>
        <c:axPos val="l"/>
        <c:numFmt formatCode="0.0%" sourceLinked="1"/>
        <c:majorTickMark val="none"/>
        <c:minorTickMark val="none"/>
        <c:tickLblPos val="nextTo"/>
        <c:crossAx val="-14666344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Sylfaen" panose="010A0502050306030303" pitchFamily="18" charset="0"/>
                <a:ea typeface="+mn-ea"/>
                <a:cs typeface="+mn-cs"/>
              </a:defRPr>
            </a:pPr>
            <a:r>
              <a:rPr lang="ka-GE" sz="1100">
                <a:solidFill>
                  <a:schemeClr val="tx1">
                    <a:lumMod val="65000"/>
                    <a:lumOff val="35000"/>
                  </a:schemeClr>
                </a:solidFill>
                <a:latin typeface="Sylfaen" panose="010A0502050306030303" pitchFamily="18" charset="0"/>
              </a:rPr>
              <a:t>ბიზნეს სექტორი, 201</a:t>
            </a:r>
            <a:r>
              <a:rPr lang="en-US" sz="1100">
                <a:solidFill>
                  <a:schemeClr val="tx1">
                    <a:lumMod val="65000"/>
                    <a:lumOff val="35000"/>
                  </a:schemeClr>
                </a:solidFill>
                <a:latin typeface="Sylfaen" panose="010A0502050306030303" pitchFamily="18" charset="0"/>
              </a:rPr>
              <a:t>7</a:t>
            </a:r>
            <a:r>
              <a:rPr lang="ka-GE" sz="1100">
                <a:solidFill>
                  <a:schemeClr val="tx1">
                    <a:lumMod val="65000"/>
                    <a:lumOff val="35000"/>
                  </a:schemeClr>
                </a:solidFill>
                <a:latin typeface="Sylfaen" panose="010A0502050306030303" pitchFamily="18" charset="0"/>
              </a:rPr>
              <a:t> </a:t>
            </a:r>
            <a:endParaRPr lang="en-US" sz="1100">
              <a:solidFill>
                <a:schemeClr val="tx1">
                  <a:lumMod val="65000"/>
                  <a:lumOff val="35000"/>
                </a:schemeClr>
              </a:solidFill>
              <a:latin typeface="Sylfaen" panose="010A0502050306030303"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chemeClr val="tx2"/>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874D-4EFC-B729-4AEEF86C068D}"/>
              </c:ext>
            </c:extLst>
          </c:dPt>
          <c:dPt>
            <c:idx val="1"/>
            <c:invertIfNegative val="0"/>
            <c:bubble3D val="0"/>
            <c:spPr>
              <a:solidFill>
                <a:schemeClr val="accent6"/>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874D-4EFC-B729-4AEEF86C068D}"/>
              </c:ext>
            </c:extLst>
          </c:dPt>
          <c:dLbls>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დასაქმება</c:v>
                </c:pt>
                <c:pt idx="1">
                  <c:v>გამოშვება</c:v>
                </c:pt>
                <c:pt idx="2">
                  <c:v>ბრუნვა</c:v>
                </c:pt>
              </c:strCache>
            </c:strRef>
          </c:cat>
          <c:val>
            <c:numRef>
              <c:f>Sheet1!$B$2:$B$4</c:f>
              <c:numCache>
                <c:formatCode>0.0%</c:formatCode>
                <c:ptCount val="3"/>
                <c:pt idx="0">
                  <c:v>6.3E-2</c:v>
                </c:pt>
                <c:pt idx="1">
                  <c:v>0.19600000000000001</c:v>
                </c:pt>
                <c:pt idx="2">
                  <c:v>0.19400000000000001</c:v>
                </c:pt>
              </c:numCache>
            </c:numRef>
          </c:val>
          <c:extLst xmlns:c16r2="http://schemas.microsoft.com/office/drawing/2015/06/chart">
            <c:ext xmlns:c16="http://schemas.microsoft.com/office/drawing/2014/chart" uri="{C3380CC4-5D6E-409C-BE32-E72D297353CC}">
              <c16:uniqueId val="{00000005-874D-4EFC-B729-4AEEF86C068D}"/>
            </c:ext>
          </c:extLst>
        </c:ser>
        <c:dLbls>
          <c:showLegendKey val="0"/>
          <c:showVal val="0"/>
          <c:showCatName val="0"/>
          <c:showSerName val="0"/>
          <c:showPercent val="0"/>
          <c:showBubbleSize val="0"/>
        </c:dLbls>
        <c:gapWidth val="100"/>
        <c:overlap val="-24"/>
        <c:axId val="-1466645360"/>
        <c:axId val="-1466644816"/>
      </c:barChart>
      <c:catAx>
        <c:axId val="-14666453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644816"/>
        <c:crosses val="autoZero"/>
        <c:auto val="1"/>
        <c:lblAlgn val="ctr"/>
        <c:lblOffset val="100"/>
        <c:noMultiLvlLbl val="0"/>
      </c:catAx>
      <c:valAx>
        <c:axId val="-1466644816"/>
        <c:scaling>
          <c:orientation val="minMax"/>
        </c:scaling>
        <c:delete val="1"/>
        <c:axPos val="l"/>
        <c:numFmt formatCode="0.0%" sourceLinked="1"/>
        <c:majorTickMark val="none"/>
        <c:minorTickMark val="none"/>
        <c:tickLblPos val="nextTo"/>
        <c:crossAx val="-14666453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ka-GE" sz="1200" b="1" i="0" cap="all" baseline="0" dirty="0" smtClean="0">
                <a:effectLst/>
              </a:rPr>
              <a:t>დასაქმება ბიზნეს სექტორში</a:t>
            </a:r>
            <a:endParaRPr lang="en-US" sz="1200" b="1" dirty="0">
              <a:effectLst/>
            </a:endParaRPr>
          </a:p>
        </c:rich>
      </c:tx>
      <c:layout>
        <c:manualLayout>
          <c:xMode val="edge"/>
          <c:yMode val="edge"/>
          <c:x val="0.32482722992959201"/>
          <c:y val="1.86340724145883E-3"/>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1907032689882597E-2"/>
          <c:y val="0.151090611581502"/>
          <c:w val="0.93646825104277798"/>
          <c:h val="0.66077554113267201"/>
        </c:manualLayout>
      </c:layout>
      <c:barChart>
        <c:barDir val="col"/>
        <c:grouping val="clustered"/>
        <c:varyColors val="0"/>
        <c:ser>
          <c:idx val="0"/>
          <c:order val="0"/>
          <c:tx>
            <c:strRef>
              <c:f>Sheet1!$B$1</c:f>
              <c:strCache>
                <c:ptCount val="1"/>
                <c:pt idx="0">
                  <c:v>2015</c:v>
                </c:pt>
              </c:strCache>
            </c:strRef>
          </c:tx>
          <c:spPr>
            <a:solidFill>
              <a:srgbClr val="41B17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 I</c:v>
                </c:pt>
                <c:pt idx="1">
                  <c:v> II</c:v>
                </c:pt>
                <c:pt idx="2">
                  <c:v>III</c:v>
                </c:pt>
                <c:pt idx="3">
                  <c:v>IV</c:v>
                </c:pt>
              </c:strCache>
            </c:strRef>
          </c:cat>
          <c:val>
            <c:numRef>
              <c:f>Sheet1!$B$2:$B$5</c:f>
              <c:numCache>
                <c:formatCode>0</c:formatCode>
                <c:ptCount val="4"/>
                <c:pt idx="0">
                  <c:v>545.37400000000002</c:v>
                </c:pt>
                <c:pt idx="1">
                  <c:v>568.45699999999988</c:v>
                </c:pt>
                <c:pt idx="2">
                  <c:v>568.63300000000004</c:v>
                </c:pt>
                <c:pt idx="3">
                  <c:v>584.46199999999988</c:v>
                </c:pt>
              </c:numCache>
            </c:numRef>
          </c:val>
          <c:extLst xmlns:c16r2="http://schemas.microsoft.com/office/drawing/2015/06/chart">
            <c:ext xmlns:c16="http://schemas.microsoft.com/office/drawing/2014/chart" uri="{C3380CC4-5D6E-409C-BE32-E72D297353CC}">
              <c16:uniqueId val="{00000000-089E-41F0-BD29-DA8721A0BDCD}"/>
            </c:ext>
          </c:extLst>
        </c:ser>
        <c:ser>
          <c:idx val="1"/>
          <c:order val="1"/>
          <c:tx>
            <c:strRef>
              <c:f>Sheet1!$C$1</c:f>
              <c:strCache>
                <c:ptCount val="1"/>
                <c:pt idx="0">
                  <c:v>2016</c:v>
                </c:pt>
              </c:strCache>
            </c:strRef>
          </c:tx>
          <c:spPr>
            <a:solidFill>
              <a:srgbClr val="D2726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 I</c:v>
                </c:pt>
                <c:pt idx="1">
                  <c:v> II</c:v>
                </c:pt>
                <c:pt idx="2">
                  <c:v>III</c:v>
                </c:pt>
                <c:pt idx="3">
                  <c:v>IV</c:v>
                </c:pt>
              </c:strCache>
            </c:strRef>
          </c:cat>
          <c:val>
            <c:numRef>
              <c:f>Sheet1!$C$2:$C$5</c:f>
              <c:numCache>
                <c:formatCode>0</c:formatCode>
                <c:ptCount val="4"/>
                <c:pt idx="0">
                  <c:v>577.63069574365795</c:v>
                </c:pt>
                <c:pt idx="1">
                  <c:v>600.9777222189831</c:v>
                </c:pt>
                <c:pt idx="2">
                  <c:v>606.01199999999983</c:v>
                </c:pt>
                <c:pt idx="3">
                  <c:v>620.77499999999998</c:v>
                </c:pt>
              </c:numCache>
            </c:numRef>
          </c:val>
          <c:extLst xmlns:c16r2="http://schemas.microsoft.com/office/drawing/2015/06/chart">
            <c:ext xmlns:c16="http://schemas.microsoft.com/office/drawing/2014/chart" uri="{C3380CC4-5D6E-409C-BE32-E72D297353CC}">
              <c16:uniqueId val="{00000001-089E-41F0-BD29-DA8721A0BDCD}"/>
            </c:ext>
          </c:extLst>
        </c:ser>
        <c:ser>
          <c:idx val="2"/>
          <c:order val="2"/>
          <c:tx>
            <c:strRef>
              <c:f>Sheet1!$D$1</c:f>
              <c:strCache>
                <c:ptCount val="1"/>
                <c:pt idx="0">
                  <c:v>2017</c:v>
                </c:pt>
              </c:strCache>
            </c:strRef>
          </c:tx>
          <c:spPr>
            <a:solidFill>
              <a:srgbClr val="2B9FB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 I</c:v>
                </c:pt>
                <c:pt idx="1">
                  <c:v> II</c:v>
                </c:pt>
                <c:pt idx="2">
                  <c:v>III</c:v>
                </c:pt>
                <c:pt idx="3">
                  <c:v>IV</c:v>
                </c:pt>
              </c:strCache>
            </c:strRef>
          </c:cat>
          <c:val>
            <c:numRef>
              <c:f>Sheet1!$D$2:$D$5</c:f>
              <c:numCache>
                <c:formatCode>0</c:formatCode>
                <c:ptCount val="4"/>
                <c:pt idx="0">
                  <c:v>604.98400000000004</c:v>
                </c:pt>
                <c:pt idx="1">
                  <c:v>631.31599999999992</c:v>
                </c:pt>
                <c:pt idx="2">
                  <c:v>643.923</c:v>
                </c:pt>
                <c:pt idx="3">
                  <c:v>660.05899999999997</c:v>
                </c:pt>
              </c:numCache>
            </c:numRef>
          </c:val>
          <c:extLst xmlns:c16r2="http://schemas.microsoft.com/office/drawing/2015/06/chart">
            <c:ext xmlns:c16="http://schemas.microsoft.com/office/drawing/2014/chart" uri="{C3380CC4-5D6E-409C-BE32-E72D297353CC}">
              <c16:uniqueId val="{00000002-089E-41F0-BD29-DA8721A0BDCD}"/>
            </c:ext>
          </c:extLst>
        </c:ser>
        <c:dLbls>
          <c:showLegendKey val="0"/>
          <c:showVal val="0"/>
          <c:showCatName val="0"/>
          <c:showSerName val="0"/>
          <c:showPercent val="0"/>
          <c:showBubbleSize val="0"/>
        </c:dLbls>
        <c:gapWidth val="248"/>
        <c:overlap val="-23"/>
        <c:axId val="-1466642640"/>
        <c:axId val="-1466644272"/>
      </c:barChart>
      <c:lineChart>
        <c:grouping val="standard"/>
        <c:varyColors val="0"/>
        <c:ser>
          <c:idx val="3"/>
          <c:order val="3"/>
          <c:tx>
            <c:strRef>
              <c:f>Sheet1!$E$1</c:f>
              <c:strCache>
                <c:ptCount val="1"/>
                <c:pt idx="0">
                  <c:v>ზრდა</c:v>
                </c:pt>
              </c:strCache>
            </c:strRef>
          </c:tx>
          <c:spPr>
            <a:ln w="25400" cap="rnd">
              <a:noFill/>
              <a:round/>
            </a:ln>
            <a:effectLst/>
          </c:spPr>
          <c:marker>
            <c:symbol val="diamond"/>
            <c:size val="6"/>
            <c:spPr>
              <a:solidFill>
                <a:srgbClr val="C00000"/>
              </a:solidFill>
              <a:ln w="9525">
                <a:noFill/>
              </a:ln>
              <a:effectLst/>
            </c:spPr>
          </c:marker>
          <c:dLbls>
            <c:dLbl>
              <c:idx val="0"/>
              <c:layout>
                <c:manualLayout>
                  <c:x val="-4.8997498958629301E-2"/>
                  <c:y val="-0.17649062090223899"/>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89E-41F0-BD29-DA8721A0BDCD}"/>
                </c:ext>
                <c:ext xmlns:c15="http://schemas.microsoft.com/office/drawing/2012/chart" uri="{CE6537A1-D6FC-4f65-9D91-7224C49458BB}"/>
              </c:extLst>
            </c:dLbl>
            <c:dLbl>
              <c:idx val="1"/>
              <c:layout>
                <c:manualLayout>
                  <c:x val="-4.6772871881449497E-2"/>
                  <c:y val="-0.13028279191341199"/>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89E-41F0-BD29-DA8721A0BDCD}"/>
                </c:ext>
                <c:ext xmlns:c15="http://schemas.microsoft.com/office/drawing/2012/chart" uri="{CE6537A1-D6FC-4f65-9D91-7224C49458BB}"/>
              </c:extLst>
            </c:dLbl>
            <c:dLbl>
              <c:idx val="2"/>
              <c:layout>
                <c:manualLayout>
                  <c:x val="-4.8997498958629399E-2"/>
                  <c:y val="-4.71086997335228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89E-41F0-BD29-DA8721A0BDCD}"/>
                </c:ext>
                <c:ext xmlns:c15="http://schemas.microsoft.com/office/drawing/2012/chart" uri="{CE6537A1-D6FC-4f65-9D91-7224C49458BB}"/>
              </c:extLst>
            </c:dLbl>
            <c:dLbl>
              <c:idx val="3"/>
              <c:layout>
                <c:manualLayout>
                  <c:x val="-4.4548244804269603E-2"/>
                  <c:y val="-4.24879168346399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89E-41F0-BD29-DA8721A0BDC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 I</c:v>
                </c:pt>
                <c:pt idx="1">
                  <c:v> II</c:v>
                </c:pt>
                <c:pt idx="2">
                  <c:v>III</c:v>
                </c:pt>
                <c:pt idx="3">
                  <c:v>IV</c:v>
                </c:pt>
              </c:strCache>
            </c:strRef>
          </c:cat>
          <c:val>
            <c:numRef>
              <c:f>Sheet1!$E$2:$E$5</c:f>
              <c:numCache>
                <c:formatCode>0.0%</c:formatCode>
                <c:ptCount val="4"/>
                <c:pt idx="0">
                  <c:v>4.7354312120007298E-2</c:v>
                </c:pt>
                <c:pt idx="1">
                  <c:v>5.0481534771371198E-2</c:v>
                </c:pt>
                <c:pt idx="2">
                  <c:v>6.2558167165006798E-2</c:v>
                </c:pt>
                <c:pt idx="3">
                  <c:v>6.3E-2</c:v>
                </c:pt>
              </c:numCache>
            </c:numRef>
          </c:val>
          <c:smooth val="0"/>
          <c:extLst xmlns:c16r2="http://schemas.microsoft.com/office/drawing/2015/06/chart">
            <c:ext xmlns:c16="http://schemas.microsoft.com/office/drawing/2014/chart" uri="{C3380CC4-5D6E-409C-BE32-E72D297353CC}">
              <c16:uniqueId val="{00000007-089E-41F0-BD29-DA8721A0BDCD}"/>
            </c:ext>
          </c:extLst>
        </c:ser>
        <c:dLbls>
          <c:showLegendKey val="0"/>
          <c:showVal val="0"/>
          <c:showCatName val="0"/>
          <c:showSerName val="0"/>
          <c:showPercent val="0"/>
          <c:showBubbleSize val="0"/>
        </c:dLbls>
        <c:marker val="1"/>
        <c:smooth val="0"/>
        <c:axId val="-1466641552"/>
        <c:axId val="-1466642096"/>
      </c:lineChart>
      <c:catAx>
        <c:axId val="-146664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466644272"/>
        <c:crosses val="autoZero"/>
        <c:auto val="1"/>
        <c:lblAlgn val="ctr"/>
        <c:lblOffset val="100"/>
        <c:noMultiLvlLbl val="0"/>
      </c:catAx>
      <c:valAx>
        <c:axId val="-14666442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bg1"/>
                </a:solidFill>
                <a:latin typeface="+mn-lt"/>
                <a:ea typeface="+mn-ea"/>
                <a:cs typeface="+mn-cs"/>
              </a:defRPr>
            </a:pPr>
            <a:endParaRPr lang="en-US"/>
          </a:p>
        </c:txPr>
        <c:crossAx val="-1466642640"/>
        <c:crosses val="autoZero"/>
        <c:crossBetween val="between"/>
      </c:valAx>
      <c:valAx>
        <c:axId val="-1466642096"/>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bg1"/>
                </a:solidFill>
                <a:latin typeface="+mn-lt"/>
                <a:ea typeface="+mn-ea"/>
                <a:cs typeface="+mn-cs"/>
              </a:defRPr>
            </a:pPr>
            <a:endParaRPr lang="en-US"/>
          </a:p>
        </c:txPr>
        <c:crossAx val="-1466641552"/>
        <c:crosses val="max"/>
        <c:crossBetween val="between"/>
      </c:valAx>
      <c:catAx>
        <c:axId val="-1466641552"/>
        <c:scaling>
          <c:orientation val="minMax"/>
        </c:scaling>
        <c:delete val="1"/>
        <c:axPos val="b"/>
        <c:numFmt formatCode="General" sourceLinked="1"/>
        <c:majorTickMark val="out"/>
        <c:minorTickMark val="none"/>
        <c:tickLblPos val="nextTo"/>
        <c:crossAx val="-1466642096"/>
        <c:crosses val="autoZero"/>
        <c:auto val="1"/>
        <c:lblAlgn val="ctr"/>
        <c:lblOffset val="100"/>
        <c:noMultiLvlLbl val="0"/>
      </c:catAx>
      <c:spPr>
        <a:noFill/>
        <a:ln>
          <a:noFill/>
        </a:ln>
        <a:effectLst/>
      </c:spPr>
    </c:plotArea>
    <c:legend>
      <c:legendPos val="b"/>
      <c:layout>
        <c:manualLayout>
          <c:xMode val="edge"/>
          <c:yMode val="edge"/>
          <c:x val="0.216911719368412"/>
          <c:y val="0.89699337791981004"/>
          <c:w val="0.51326634170728602"/>
          <c:h val="0.10300662208019"/>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b="1" baseline="0"/>
              <a:t>საგარეო ვაჭრობა (2010-2017)</a:t>
            </a:r>
            <a:endParaRPr lang="en-US" sz="1200" b="1"/>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ექსპორტი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#,##0.0</c:formatCode>
                <c:ptCount val="8"/>
                <c:pt idx="0">
                  <c:v>1677.3</c:v>
                </c:pt>
                <c:pt idx="1">
                  <c:v>2186.4</c:v>
                </c:pt>
                <c:pt idx="2">
                  <c:v>2376.6</c:v>
                </c:pt>
                <c:pt idx="3">
                  <c:v>2910.3</c:v>
                </c:pt>
                <c:pt idx="4">
                  <c:v>2861</c:v>
                </c:pt>
                <c:pt idx="5">
                  <c:v>2204.6999999999998</c:v>
                </c:pt>
                <c:pt idx="6">
                  <c:v>2113.1</c:v>
                </c:pt>
                <c:pt idx="7">
                  <c:v>2728</c:v>
                </c:pt>
              </c:numCache>
            </c:numRef>
          </c:val>
          <c:extLst xmlns:c16r2="http://schemas.microsoft.com/office/drawing/2015/06/chart">
            <c:ext xmlns:c16="http://schemas.microsoft.com/office/drawing/2014/chart" uri="{C3380CC4-5D6E-409C-BE32-E72D297353CC}">
              <c16:uniqueId val="{00000000-6DB6-4B63-BFA8-4B6BE5873F63}"/>
            </c:ext>
          </c:extLst>
        </c:ser>
        <c:ser>
          <c:idx val="1"/>
          <c:order val="1"/>
          <c:tx>
            <c:strRef>
              <c:f>Sheet1!$C$1</c:f>
              <c:strCache>
                <c:ptCount val="1"/>
                <c:pt idx="0">
                  <c:v>იმპორტი</c:v>
                </c:pt>
              </c:strCache>
            </c:strRef>
          </c:tx>
          <c:spPr>
            <a:solidFill>
              <a:schemeClr val="accent3"/>
            </a:solidFill>
            <a:ln>
              <a:noFill/>
            </a:ln>
            <a:effectLst/>
          </c:spPr>
          <c:invertIfNegative val="0"/>
          <c:dLbls>
            <c:dLbl>
              <c:idx val="7"/>
              <c:tx>
                <c:rich>
                  <a:bodyPr/>
                  <a:lstStyle/>
                  <a:p>
                    <a:r>
                      <a:rPr lang="en-US"/>
                      <a:t>7,981.3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9C5-43F2-8686-6F12D3B6C9E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Sheet1!$C$2:$C$9</c:f>
              <c:numCache>
                <c:formatCode>#,##0.0</c:formatCode>
                <c:ptCount val="8"/>
                <c:pt idx="0">
                  <c:v>5236</c:v>
                </c:pt>
                <c:pt idx="1">
                  <c:v>7072.3</c:v>
                </c:pt>
                <c:pt idx="2">
                  <c:v>8056.4</c:v>
                </c:pt>
                <c:pt idx="3">
                  <c:v>8022.7</c:v>
                </c:pt>
                <c:pt idx="4">
                  <c:v>8601.7999999999975</c:v>
                </c:pt>
                <c:pt idx="5">
                  <c:v>7300.3</c:v>
                </c:pt>
                <c:pt idx="6">
                  <c:v>7294.6</c:v>
                </c:pt>
                <c:pt idx="7">
                  <c:v>7979.2</c:v>
                </c:pt>
              </c:numCache>
            </c:numRef>
          </c:val>
          <c:extLst xmlns:c16r2="http://schemas.microsoft.com/office/drawing/2015/06/chart">
            <c:ext xmlns:c16="http://schemas.microsoft.com/office/drawing/2014/chart" uri="{C3380CC4-5D6E-409C-BE32-E72D297353CC}">
              <c16:uniqueId val="{00000001-6DB6-4B63-BFA8-4B6BE5873F63}"/>
            </c:ext>
          </c:extLst>
        </c:ser>
        <c:ser>
          <c:idx val="2"/>
          <c:order val="2"/>
          <c:tx>
            <c:strRef>
              <c:f>Sheet1!$D$1</c:f>
              <c:strCache>
                <c:ptCount val="1"/>
                <c:pt idx="0">
                  <c:v>ბალანსი</c:v>
                </c:pt>
              </c:strCache>
            </c:strRef>
          </c:tx>
          <c:spPr>
            <a:solidFill>
              <a:schemeClr val="accent5"/>
            </a:solidFill>
            <a:ln>
              <a:noFill/>
            </a:ln>
            <a:effectLst/>
          </c:spPr>
          <c:invertIfNegative val="0"/>
          <c:dLbls>
            <c:dLbl>
              <c:idx val="7"/>
              <c:tx>
                <c:rich>
                  <a:bodyPr/>
                  <a:lstStyle/>
                  <a:p>
                    <a:r>
                      <a:rPr lang="en-US"/>
                      <a:t>-5,253.3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9C5-43F2-8686-6F12D3B6C9E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Sheet1!$D$2:$D$9</c:f>
              <c:numCache>
                <c:formatCode>#,##0.0</c:formatCode>
                <c:ptCount val="8"/>
                <c:pt idx="0">
                  <c:v>-3558.7</c:v>
                </c:pt>
                <c:pt idx="1">
                  <c:v>-4885.8</c:v>
                </c:pt>
                <c:pt idx="2">
                  <c:v>-5679.7</c:v>
                </c:pt>
                <c:pt idx="3">
                  <c:v>-5112.4000000000005</c:v>
                </c:pt>
                <c:pt idx="4">
                  <c:v>-5740.8</c:v>
                </c:pt>
                <c:pt idx="5">
                  <c:v>-5095.6000000000004</c:v>
                </c:pt>
                <c:pt idx="6">
                  <c:v>-5181.5</c:v>
                </c:pt>
                <c:pt idx="7">
                  <c:v>-5251.2</c:v>
                </c:pt>
              </c:numCache>
            </c:numRef>
          </c:val>
          <c:extLst xmlns:c16r2="http://schemas.microsoft.com/office/drawing/2015/06/chart">
            <c:ext xmlns:c16="http://schemas.microsoft.com/office/drawing/2014/chart" uri="{C3380CC4-5D6E-409C-BE32-E72D297353CC}">
              <c16:uniqueId val="{00000002-6DB6-4B63-BFA8-4B6BE5873F63}"/>
            </c:ext>
          </c:extLst>
        </c:ser>
        <c:dLbls>
          <c:showLegendKey val="0"/>
          <c:showVal val="0"/>
          <c:showCatName val="0"/>
          <c:showSerName val="0"/>
          <c:showPercent val="0"/>
          <c:showBubbleSize val="0"/>
        </c:dLbls>
        <c:gapWidth val="150"/>
        <c:overlap val="100"/>
        <c:axId val="-1466637200"/>
        <c:axId val="-1466631216"/>
      </c:barChart>
      <c:scatterChart>
        <c:scatterStyle val="lineMarker"/>
        <c:varyColors val="0"/>
        <c:ser>
          <c:idx val="3"/>
          <c:order val="3"/>
          <c:tx>
            <c:strRef>
              <c:f>Sheet1!$E$1</c:f>
              <c:strCache>
                <c:ptCount val="1"/>
                <c:pt idx="0">
                  <c:v>ბრუნვა</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Sheet1!$A$2:$A$9</c:f>
              <c:numCache>
                <c:formatCode>General</c:formatCode>
                <c:ptCount val="8"/>
                <c:pt idx="0">
                  <c:v>2010</c:v>
                </c:pt>
                <c:pt idx="1">
                  <c:v>2011</c:v>
                </c:pt>
                <c:pt idx="2">
                  <c:v>2012</c:v>
                </c:pt>
                <c:pt idx="3">
                  <c:v>2013</c:v>
                </c:pt>
                <c:pt idx="4">
                  <c:v>2014</c:v>
                </c:pt>
                <c:pt idx="5">
                  <c:v>2015</c:v>
                </c:pt>
                <c:pt idx="6">
                  <c:v>2016</c:v>
                </c:pt>
                <c:pt idx="7">
                  <c:v>2017</c:v>
                </c:pt>
              </c:numCache>
            </c:numRef>
          </c:xVal>
          <c:yVal>
            <c:numRef>
              <c:f>Sheet1!$E$2:$E$9</c:f>
              <c:numCache>
                <c:formatCode>#,##0.0</c:formatCode>
                <c:ptCount val="8"/>
                <c:pt idx="0">
                  <c:v>6913.3</c:v>
                </c:pt>
                <c:pt idx="1">
                  <c:v>9258.7000000000007</c:v>
                </c:pt>
                <c:pt idx="2">
                  <c:v>10433</c:v>
                </c:pt>
                <c:pt idx="3">
                  <c:v>10933.1</c:v>
                </c:pt>
                <c:pt idx="4">
                  <c:v>11462.9</c:v>
                </c:pt>
                <c:pt idx="5">
                  <c:v>9505</c:v>
                </c:pt>
                <c:pt idx="6">
                  <c:v>9407.7000000000007</c:v>
                </c:pt>
                <c:pt idx="7">
                  <c:v>10707.2</c:v>
                </c:pt>
              </c:numCache>
            </c:numRef>
          </c:yVal>
          <c:smooth val="0"/>
          <c:extLst xmlns:c16r2="http://schemas.microsoft.com/office/drawing/2015/06/chart">
            <c:ext xmlns:c16="http://schemas.microsoft.com/office/drawing/2014/chart" uri="{C3380CC4-5D6E-409C-BE32-E72D297353CC}">
              <c16:uniqueId val="{00000003-6DB6-4B63-BFA8-4B6BE5873F63}"/>
            </c:ext>
          </c:extLst>
        </c:ser>
        <c:dLbls>
          <c:showLegendKey val="0"/>
          <c:showVal val="0"/>
          <c:showCatName val="0"/>
          <c:showSerName val="0"/>
          <c:showPercent val="0"/>
          <c:showBubbleSize val="0"/>
        </c:dLbls>
        <c:axId val="-1466637200"/>
        <c:axId val="-1466631216"/>
      </c:scatterChart>
      <c:dateAx>
        <c:axId val="-1466637200"/>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631216"/>
        <c:crosses val="autoZero"/>
        <c:auto val="0"/>
        <c:lblOffset val="100"/>
        <c:baseTimeUnit val="days"/>
      </c:dateAx>
      <c:valAx>
        <c:axId val="-1466631216"/>
        <c:scaling>
          <c:orientation val="minMax"/>
        </c:scaling>
        <c:delete val="0"/>
        <c:axPos val="l"/>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63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100" b="1" i="0" baseline="0" dirty="0">
                <a:solidFill>
                  <a:schemeClr val="tx1">
                    <a:lumMod val="65000"/>
                    <a:lumOff val="35000"/>
                  </a:schemeClr>
                </a:solidFill>
                <a:effectLst/>
              </a:rPr>
              <a:t>შემოსავლები ტურიზმიდან, მლნ აშშ დოლარი</a:t>
            </a:r>
            <a:endParaRPr lang="en-US" sz="1100" b="1" dirty="0">
              <a:solidFill>
                <a:schemeClr val="tx1">
                  <a:lumMod val="65000"/>
                  <a:lumOff val="35000"/>
                </a:schemeClr>
              </a:solidFill>
              <a:effectLst/>
            </a:endParaRPr>
          </a:p>
        </c:rich>
      </c:tx>
      <c:layout>
        <c:manualLayout>
          <c:xMode val="edge"/>
          <c:yMode val="edge"/>
          <c:x val="0.24838977350053501"/>
          <c:y val="2.5711659139054301E-2"/>
        </c:manualLayout>
      </c:layout>
      <c:overlay val="0"/>
      <c:spPr>
        <a:noFill/>
        <a:ln>
          <a:noFill/>
        </a:ln>
        <a:effectLst/>
      </c:spPr>
    </c:title>
    <c:autoTitleDeleted val="0"/>
    <c:plotArea>
      <c:layout>
        <c:manualLayout>
          <c:layoutTarget val="inner"/>
          <c:xMode val="edge"/>
          <c:yMode val="edge"/>
          <c:x val="2.6760005823859699E-2"/>
          <c:y val="0.11561509356784901"/>
          <c:w val="0.94976826547356197"/>
          <c:h val="0.67427435206962805"/>
        </c:manualLayout>
      </c:layout>
      <c:barChart>
        <c:barDir val="col"/>
        <c:grouping val="clustered"/>
        <c:varyColors val="0"/>
        <c:ser>
          <c:idx val="0"/>
          <c:order val="0"/>
          <c:tx>
            <c:strRef>
              <c:f>Sheet1!$B$1</c:f>
              <c:strCache>
                <c:ptCount val="1"/>
                <c:pt idx="0">
                  <c:v>შემოსავლები საერთაშორისო ტურიზმიდან</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2011</c:v>
                </c:pt>
                <c:pt idx="1">
                  <c:v>2012</c:v>
                </c:pt>
                <c:pt idx="2">
                  <c:v>2013</c:v>
                </c:pt>
                <c:pt idx="3">
                  <c:v>2014</c:v>
                </c:pt>
                <c:pt idx="4">
                  <c:v>2015</c:v>
                </c:pt>
                <c:pt idx="5">
                  <c:v>2016</c:v>
                </c:pt>
                <c:pt idx="6">
                  <c:v>2017</c:v>
                </c:pt>
                <c:pt idx="7">
                  <c:v>2018 იანვარი-მარტი</c:v>
                </c:pt>
              </c:strCache>
            </c:strRef>
          </c:cat>
          <c:val>
            <c:numRef>
              <c:f>Sheet1!$B$2:$B$9</c:f>
              <c:numCache>
                <c:formatCode>#,##0.0</c:formatCode>
                <c:ptCount val="8"/>
                <c:pt idx="0">
                  <c:v>938.29072680000002</c:v>
                </c:pt>
                <c:pt idx="1">
                  <c:v>1410.9017060552874</c:v>
                </c:pt>
                <c:pt idx="2">
                  <c:v>1709.8779121904697</c:v>
                </c:pt>
                <c:pt idx="3">
                  <c:v>1786.3438185400003</c:v>
                </c:pt>
                <c:pt idx="4">
                  <c:v>1935.7842056</c:v>
                </c:pt>
                <c:pt idx="5">
                  <c:v>2165.9174080500002</c:v>
                </c:pt>
                <c:pt idx="6" formatCode="0.0">
                  <c:v>2753</c:v>
                </c:pt>
                <c:pt idx="7" formatCode="0.0">
                  <c:v>560.4</c:v>
                </c:pt>
              </c:numCache>
            </c:numRef>
          </c:val>
          <c:extLst xmlns:c16r2="http://schemas.microsoft.com/office/drawing/2015/06/chart">
            <c:ext xmlns:c16="http://schemas.microsoft.com/office/drawing/2014/chart" uri="{C3380CC4-5D6E-409C-BE32-E72D297353CC}">
              <c16:uniqueId val="{00000000-A833-4989-989B-D5A10F5983D9}"/>
            </c:ext>
          </c:extLst>
        </c:ser>
        <c:dLbls>
          <c:showLegendKey val="0"/>
          <c:showVal val="0"/>
          <c:showCatName val="0"/>
          <c:showSerName val="0"/>
          <c:showPercent val="0"/>
          <c:showBubbleSize val="0"/>
        </c:dLbls>
        <c:gapWidth val="219"/>
        <c:axId val="-1466637744"/>
        <c:axId val="-1466632848"/>
      </c:barChart>
      <c:lineChart>
        <c:grouping val="standard"/>
        <c:varyColors val="0"/>
        <c:ser>
          <c:idx val="1"/>
          <c:order val="1"/>
          <c:tx>
            <c:strRef>
              <c:f>Sheet1!$C$1</c:f>
              <c:strCache>
                <c:ptCount val="1"/>
                <c:pt idx="0">
                  <c:v>ზრდის ტემპი</c:v>
                </c:pt>
              </c:strCache>
            </c:strRef>
          </c:tx>
          <c:spPr>
            <a:ln w="28575" cap="rnd">
              <a:solidFill>
                <a:schemeClr val="accent2"/>
              </a:solidFill>
              <a:round/>
            </a:ln>
            <a:effectLst/>
          </c:spPr>
          <c:marker>
            <c:symbol val="none"/>
          </c:marker>
          <c:dLbls>
            <c:dLbl>
              <c:idx val="2"/>
              <c:layout>
                <c:manualLayout>
                  <c:x val="1.165954139137190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833-4989-989B-D5A10F5983D9}"/>
                </c:ext>
                <c:ext xmlns:c15="http://schemas.microsoft.com/office/drawing/2012/chart" uri="{CE6537A1-D6FC-4f65-9D91-7224C49458BB}"/>
              </c:extLst>
            </c:dLbl>
            <c:dLbl>
              <c:idx val="3"/>
              <c:layout>
                <c:manualLayout>
                  <c:x val="1.5546055188496E-2"/>
                  <c:y val="-4.84027105517910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833-4989-989B-D5A10F5983D9}"/>
                </c:ext>
                <c:ext xmlns:c15="http://schemas.microsoft.com/office/drawing/2012/chart" uri="{CE6537A1-D6FC-4f65-9D91-7224C49458BB}"/>
              </c:extLst>
            </c:dLbl>
            <c:dLbl>
              <c:idx val="4"/>
              <c:layout>
                <c:manualLayout>
                  <c:x val="9.7162844928099495E-3"/>
                  <c:y val="-5.32429816069701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833-4989-989B-D5A10F5983D9}"/>
                </c:ext>
                <c:ext xmlns:c15="http://schemas.microsoft.com/office/drawing/2012/chart" uri="{CE6537A1-D6FC-4f65-9D91-7224C49458BB}"/>
              </c:extLst>
            </c:dLbl>
            <c:dLbl>
              <c:idx val="5"/>
              <c:layout>
                <c:manualLayout>
                  <c:x val="1.1659541391371901E-2"/>
                  <c:y val="-3.87221684414326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833-4989-989B-D5A10F5983D9}"/>
                </c:ext>
                <c:ext xmlns:c15="http://schemas.microsoft.com/office/drawing/2012/chart" uri="{CE6537A1-D6FC-4f65-9D91-7224C49458BB}"/>
              </c:extLst>
            </c:dLbl>
            <c:dLbl>
              <c:idx val="6"/>
              <c:layout>
                <c:manualLayout>
                  <c:x val="3.95061728395062E-3"/>
                  <c:y val="-7.4450084602368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884-4182-934F-AFF24AC3103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2011</c:v>
                </c:pt>
                <c:pt idx="1">
                  <c:v>2012</c:v>
                </c:pt>
                <c:pt idx="2">
                  <c:v>2013</c:v>
                </c:pt>
                <c:pt idx="3">
                  <c:v>2014</c:v>
                </c:pt>
                <c:pt idx="4">
                  <c:v>2015</c:v>
                </c:pt>
                <c:pt idx="5">
                  <c:v>2016</c:v>
                </c:pt>
                <c:pt idx="6">
                  <c:v>2017</c:v>
                </c:pt>
                <c:pt idx="7">
                  <c:v>2018 იანვარი-მარტი</c:v>
                </c:pt>
              </c:strCache>
            </c:strRef>
          </c:cat>
          <c:val>
            <c:numRef>
              <c:f>Sheet1!$C$2:$C$9</c:f>
              <c:numCache>
                <c:formatCode>0.0%</c:formatCode>
                <c:ptCount val="8"/>
                <c:pt idx="0">
                  <c:v>0.42299999999999999</c:v>
                </c:pt>
                <c:pt idx="1">
                  <c:v>0.50369354162446722</c:v>
                </c:pt>
                <c:pt idx="2">
                  <c:v>0.2119043480152023</c:v>
                </c:pt>
                <c:pt idx="3">
                  <c:v>4.4720097151013771E-2</c:v>
                </c:pt>
                <c:pt idx="4">
                  <c:v>8.3657124406285366E-2</c:v>
                </c:pt>
                <c:pt idx="5">
                  <c:v>0.11888370707037055</c:v>
                </c:pt>
                <c:pt idx="6">
                  <c:v>0.27105493024249561</c:v>
                </c:pt>
                <c:pt idx="7">
                  <c:v>0.28799999999999998</c:v>
                </c:pt>
              </c:numCache>
            </c:numRef>
          </c:val>
          <c:smooth val="0"/>
          <c:extLst xmlns:c16r2="http://schemas.microsoft.com/office/drawing/2015/06/chart">
            <c:ext xmlns:c16="http://schemas.microsoft.com/office/drawing/2014/chart" uri="{C3380CC4-5D6E-409C-BE32-E72D297353CC}">
              <c16:uniqueId val="{00000005-A833-4989-989B-D5A10F5983D9}"/>
            </c:ext>
          </c:extLst>
        </c:ser>
        <c:dLbls>
          <c:showLegendKey val="0"/>
          <c:showVal val="0"/>
          <c:showCatName val="0"/>
          <c:showSerName val="0"/>
          <c:showPercent val="0"/>
          <c:showBubbleSize val="0"/>
        </c:dLbls>
        <c:marker val="1"/>
        <c:smooth val="0"/>
        <c:axId val="-1645339936"/>
        <c:axId val="-1645347008"/>
      </c:lineChart>
      <c:catAx>
        <c:axId val="-146663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466632848"/>
        <c:crosses val="autoZero"/>
        <c:auto val="1"/>
        <c:lblAlgn val="ctr"/>
        <c:lblOffset val="100"/>
        <c:noMultiLvlLbl val="0"/>
      </c:catAx>
      <c:valAx>
        <c:axId val="-146663284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300" b="0" i="0" u="none" strike="noStrike" kern="1200" baseline="0">
                <a:solidFill>
                  <a:schemeClr val="bg1"/>
                </a:solidFill>
                <a:latin typeface="+mn-lt"/>
                <a:ea typeface="+mn-ea"/>
                <a:cs typeface="+mn-cs"/>
              </a:defRPr>
            </a:pPr>
            <a:endParaRPr lang="en-US"/>
          </a:p>
        </c:txPr>
        <c:crossAx val="-1466637744"/>
        <c:crosses val="autoZero"/>
        <c:crossBetween val="between"/>
        <c:majorUnit val="400"/>
      </c:valAx>
      <c:valAx>
        <c:axId val="-1645347008"/>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300" b="0" i="0" u="none" strike="noStrike" kern="1200" baseline="0">
                <a:solidFill>
                  <a:schemeClr val="bg1"/>
                </a:solidFill>
                <a:latin typeface="+mn-lt"/>
                <a:ea typeface="+mn-ea"/>
                <a:cs typeface="+mn-cs"/>
              </a:defRPr>
            </a:pPr>
            <a:endParaRPr lang="en-US"/>
          </a:p>
        </c:txPr>
        <c:crossAx val="-1645339936"/>
        <c:crosses val="max"/>
        <c:crossBetween val="between"/>
      </c:valAx>
      <c:catAx>
        <c:axId val="-1645339936"/>
        <c:scaling>
          <c:orientation val="minMax"/>
        </c:scaling>
        <c:delete val="1"/>
        <c:axPos val="b"/>
        <c:numFmt formatCode="General" sourceLinked="1"/>
        <c:majorTickMark val="out"/>
        <c:minorTickMark val="none"/>
        <c:tickLblPos val="nextTo"/>
        <c:crossAx val="-1645347008"/>
        <c:crosses val="autoZero"/>
        <c:auto val="1"/>
        <c:lblAlgn val="ctr"/>
        <c:lblOffset val="100"/>
        <c:noMultiLvlLbl val="0"/>
      </c:catAx>
      <c:spPr>
        <a:noFill/>
        <a:ln>
          <a:noFill/>
        </a:ln>
        <a:effectLst/>
      </c:spPr>
    </c:plotArea>
    <c:legend>
      <c:legendPos val="b"/>
      <c:layout>
        <c:manualLayout>
          <c:xMode val="edge"/>
          <c:yMode val="edge"/>
          <c:x val="0.16382936507936499"/>
          <c:y val="0.88636284100851004"/>
          <c:w val="0.67630952380952403"/>
          <c:h val="0.11363715899149"/>
        </c:manualLayout>
      </c:layout>
      <c:overlay val="0"/>
      <c:txPr>
        <a:bodyPr/>
        <a:lstStyle/>
        <a:p>
          <a:pPr>
            <a:defRPr sz="900"/>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ka-GE" sz="1100" b="1">
                <a:solidFill>
                  <a:schemeClr val="tx1">
                    <a:lumMod val="65000"/>
                    <a:lumOff val="35000"/>
                  </a:schemeClr>
                </a:solidFill>
              </a:rPr>
              <a:t>პირდაპირი უცხოური ინვესტიციები</a:t>
            </a:r>
            <a:endParaRPr lang="en-US" sz="1100" b="1">
              <a:solidFill>
                <a:schemeClr val="tx1">
                  <a:lumMod val="65000"/>
                  <a:lumOff val="35000"/>
                </a:schemeClr>
              </a:solidFill>
            </a:endParaRPr>
          </a:p>
        </c:rich>
      </c:tx>
      <c:layout>
        <c:manualLayout>
          <c:xMode val="edge"/>
          <c:yMode val="edge"/>
          <c:x val="0.26502150826986154"/>
          <c:y val="3.6937636316587185E-3"/>
        </c:manualLayout>
      </c:layout>
      <c:overlay val="0"/>
      <c:spPr>
        <a:noFill/>
        <a:ln>
          <a:noFill/>
        </a:ln>
        <a:effectLst/>
      </c:spPr>
    </c:title>
    <c:autoTitleDeleted val="0"/>
    <c:plotArea>
      <c:layout>
        <c:manualLayout>
          <c:layoutTarget val="inner"/>
          <c:xMode val="edge"/>
          <c:yMode val="edge"/>
          <c:x val="1.9943600799900013E-2"/>
          <c:y val="0.11732683638760402"/>
          <c:w val="0.97406058617672786"/>
          <c:h val="0.69680899321547074"/>
        </c:manualLayout>
      </c:layout>
      <c:barChart>
        <c:barDir val="col"/>
        <c:grouping val="clustered"/>
        <c:varyColors val="0"/>
        <c:ser>
          <c:idx val="0"/>
          <c:order val="0"/>
          <c:tx>
            <c:strRef>
              <c:f>Sheet1!$B$1</c:f>
              <c:strCache>
                <c:ptCount val="1"/>
                <c:pt idx="0">
                  <c:v>პირდაპირი უცხოური ინვესტიციები (მლნ დოლარი)</c:v>
                </c:pt>
              </c:strCache>
            </c:strRef>
          </c:tx>
          <c:spPr>
            <a:solidFill>
              <a:schemeClr val="tx2"/>
            </a:solidFill>
            <a:ln>
              <a:noFill/>
            </a:ln>
            <a:effectLst/>
          </c:spPr>
          <c:invertIfNegative val="0"/>
          <c:dPt>
            <c:idx val="6"/>
            <c:invertIfNegative val="0"/>
            <c:bubble3D val="0"/>
            <c:extLst xmlns:c16r2="http://schemas.microsoft.com/office/drawing/2015/06/chart">
              <c:ext xmlns:c16="http://schemas.microsoft.com/office/drawing/2014/chart" uri="{C3380CC4-5D6E-409C-BE32-E72D297353CC}">
                <c16:uniqueId val="{00000000-9427-4FAD-89F1-339739580DC0}"/>
              </c:ext>
            </c:extLst>
          </c:dPt>
          <c:dLbls>
            <c:dLbl>
              <c:idx val="0"/>
              <c:spPr>
                <a:noFill/>
                <a:ln>
                  <a:noFill/>
                </a:ln>
                <a:effectLst/>
              </c:spPr>
              <c:txPr>
                <a:bodyPr rot="0" spcFirstLastPara="1" vertOverflow="ellipsis" vert="horz" wrap="square" lIns="38100" tIns="19050" rIns="38100" bIns="19050" anchor="ctr" anchorCtr="0">
                  <a:spAutoFit/>
                </a:bodyPr>
                <a:lstStyle/>
                <a:p>
                  <a:pPr algn="l">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#,##0</c:formatCode>
                <c:ptCount val="8"/>
                <c:pt idx="0">
                  <c:v>845.11419506075072</c:v>
                </c:pt>
                <c:pt idx="1">
                  <c:v>1130.2625113235592</c:v>
                </c:pt>
                <c:pt idx="2">
                  <c:v>1022.9277928080032</c:v>
                </c:pt>
                <c:pt idx="3">
                  <c:v>1020.6344194845617</c:v>
                </c:pt>
                <c:pt idx="4">
                  <c:v>1817.9811686033393</c:v>
                </c:pt>
                <c:pt idx="5">
                  <c:v>1652.5075344589372</c:v>
                </c:pt>
                <c:pt idx="6">
                  <c:v>1602.8505596000002</c:v>
                </c:pt>
                <c:pt idx="7">
                  <c:v>1861.9013260000002</c:v>
                </c:pt>
              </c:numCache>
            </c:numRef>
          </c:val>
          <c:extLst xmlns:c16r2="http://schemas.microsoft.com/office/drawing/2015/06/chart">
            <c:ext xmlns:c16="http://schemas.microsoft.com/office/drawing/2014/chart" uri="{C3380CC4-5D6E-409C-BE32-E72D297353CC}">
              <c16:uniqueId val="{00000002-9427-4FAD-89F1-339739580DC0}"/>
            </c:ext>
          </c:extLst>
        </c:ser>
        <c:dLbls>
          <c:showLegendKey val="0"/>
          <c:showVal val="0"/>
          <c:showCatName val="0"/>
          <c:showSerName val="0"/>
          <c:showPercent val="0"/>
          <c:showBubbleSize val="0"/>
        </c:dLbls>
        <c:gapWidth val="219"/>
        <c:axId val="-1648315072"/>
        <c:axId val="-1648327584"/>
      </c:barChart>
      <c:lineChart>
        <c:grouping val="standard"/>
        <c:varyColors val="0"/>
        <c:ser>
          <c:idx val="1"/>
          <c:order val="1"/>
          <c:tx>
            <c:strRef>
              <c:f>Sheet1!$C$1</c:f>
              <c:strCache>
                <c:ptCount val="1"/>
                <c:pt idx="0">
                  <c:v>პირდაპირი უცხოური ინვესტიციები (% მშპ)</c:v>
                </c:pt>
              </c:strCache>
            </c:strRef>
          </c:tx>
          <c:spPr>
            <a:effectLst/>
          </c:spPr>
          <c:marker>
            <c:symbol val="none"/>
          </c:marker>
          <c:dLbls>
            <c:dLbl>
              <c:idx val="7"/>
              <c:layout>
                <c:manualLayout>
                  <c:x val="-1.5669334656024605E-16"/>
                  <c:y val="-5.349182763744429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427-4FAD-89F1-339739580DC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Sheet1!$C$2:$C$9</c:f>
              <c:numCache>
                <c:formatCode>0.0%</c:formatCode>
                <c:ptCount val="8"/>
                <c:pt idx="0">
                  <c:v>7.262605283683074E-2</c:v>
                </c:pt>
                <c:pt idx="1">
                  <c:v>7.8280983450630101E-2</c:v>
                </c:pt>
                <c:pt idx="2">
                  <c:v>6.4550893701601622E-2</c:v>
                </c:pt>
                <c:pt idx="3">
                  <c:v>6.3236836409594627E-2</c:v>
                </c:pt>
                <c:pt idx="4">
                  <c:v>0.11012836166447432</c:v>
                </c:pt>
                <c:pt idx="5">
                  <c:v>0.11813642270253252</c:v>
                </c:pt>
                <c:pt idx="6">
                  <c:v>0.11148001196769741</c:v>
                </c:pt>
                <c:pt idx="7">
                  <c:v>0.12407547053884395</c:v>
                </c:pt>
              </c:numCache>
            </c:numRef>
          </c:val>
          <c:smooth val="0"/>
          <c:extLst xmlns:c16r2="http://schemas.microsoft.com/office/drawing/2015/06/chart">
            <c:ext xmlns:c16="http://schemas.microsoft.com/office/drawing/2014/chart" uri="{C3380CC4-5D6E-409C-BE32-E72D297353CC}">
              <c16:uniqueId val="{00000003-9427-4FAD-89F1-339739580DC0}"/>
            </c:ext>
          </c:extLst>
        </c:ser>
        <c:dLbls>
          <c:showLegendKey val="0"/>
          <c:showVal val="0"/>
          <c:showCatName val="0"/>
          <c:showSerName val="0"/>
          <c:showPercent val="0"/>
          <c:showBubbleSize val="0"/>
        </c:dLbls>
        <c:marker val="1"/>
        <c:smooth val="0"/>
        <c:axId val="-1960372608"/>
        <c:axId val="-1517003600"/>
      </c:lineChart>
      <c:catAx>
        <c:axId val="-1648315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327584"/>
        <c:crosses val="autoZero"/>
        <c:auto val="1"/>
        <c:lblAlgn val="ctr"/>
        <c:lblOffset val="100"/>
        <c:noMultiLvlLbl val="0"/>
      </c:catAx>
      <c:valAx>
        <c:axId val="-1648327584"/>
        <c:scaling>
          <c:orientation val="minMax"/>
        </c:scaling>
        <c:delete val="0"/>
        <c:axPos val="l"/>
        <c:numFmt formatCode="#,##0" sourceLinked="1"/>
        <c:majorTickMark val="none"/>
        <c:minorTickMark val="none"/>
        <c:tickLblPos val="nextTo"/>
        <c:spPr>
          <a:ln>
            <a:solidFill>
              <a:schemeClr val="bg1"/>
            </a:solidFill>
          </a:ln>
        </c:spPr>
        <c:txPr>
          <a:bodyPr/>
          <a:lstStyle/>
          <a:p>
            <a:pPr>
              <a:defRPr sz="100">
                <a:noFill/>
              </a:defRPr>
            </a:pPr>
            <a:endParaRPr lang="en-US"/>
          </a:p>
        </c:txPr>
        <c:crossAx val="-1648315072"/>
        <c:crosses val="autoZero"/>
        <c:crossBetween val="between"/>
      </c:valAx>
      <c:valAx>
        <c:axId val="-1517003600"/>
        <c:scaling>
          <c:orientation val="minMax"/>
          <c:min val="5.5000000000000007E-2"/>
        </c:scaling>
        <c:delete val="0"/>
        <c:axPos val="r"/>
        <c:numFmt formatCode="0.0%" sourceLinked="1"/>
        <c:majorTickMark val="none"/>
        <c:minorTickMark val="none"/>
        <c:tickLblPos val="low"/>
        <c:spPr>
          <a:noFill/>
          <a:ln>
            <a:solidFill>
              <a:schemeClr val="bg1"/>
            </a:solidFill>
          </a:ln>
        </c:spPr>
        <c:txPr>
          <a:bodyPr/>
          <a:lstStyle/>
          <a:p>
            <a:pPr>
              <a:defRPr sz="100">
                <a:noFill/>
              </a:defRPr>
            </a:pPr>
            <a:endParaRPr lang="en-US"/>
          </a:p>
        </c:txPr>
        <c:crossAx val="-1960372608"/>
        <c:crosses val="max"/>
        <c:crossBetween val="between"/>
      </c:valAx>
      <c:catAx>
        <c:axId val="-1960372608"/>
        <c:scaling>
          <c:orientation val="minMax"/>
        </c:scaling>
        <c:delete val="1"/>
        <c:axPos val="b"/>
        <c:numFmt formatCode="General" sourceLinked="1"/>
        <c:majorTickMark val="out"/>
        <c:minorTickMark val="none"/>
        <c:tickLblPos val="nextTo"/>
        <c:crossAx val="-1517003600"/>
        <c:crosses val="autoZero"/>
        <c:auto val="1"/>
        <c:lblAlgn val="ctr"/>
        <c:lblOffset val="100"/>
        <c:noMultiLvlLbl val="0"/>
      </c:catAx>
      <c:spPr>
        <a:noFill/>
        <a:ln>
          <a:solidFill>
            <a:schemeClr val="bg1"/>
          </a:solidFill>
        </a:ln>
        <a:effectLst/>
      </c:spPr>
    </c:plotArea>
    <c:legend>
      <c:legendPos val="b"/>
      <c:layout>
        <c:manualLayout>
          <c:xMode val="edge"/>
          <c:yMode val="edge"/>
          <c:x val="2.368750781152356E-2"/>
          <c:y val="0.89133748269824808"/>
          <c:w val="0.9763124944526862"/>
          <c:h val="0.108662476726231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100" b="1" i="0" baseline="0">
                <a:effectLst/>
              </a:rPr>
              <a:t>ფულადი გზავნილების წლიური ცვლილება</a:t>
            </a:r>
            <a:r>
              <a:rPr lang="en-US" sz="1100" b="1" i="0" baseline="0">
                <a:effectLst/>
              </a:rPr>
              <a:t> </a:t>
            </a:r>
            <a:r>
              <a:rPr lang="ka-GE" sz="1100" b="1" i="0" baseline="0">
                <a:effectLst/>
              </a:rPr>
              <a:t>%</a:t>
            </a:r>
            <a:endParaRPr lang="en-US" sz="1100">
              <a:effectLst/>
            </a:endParaRPr>
          </a:p>
        </c:rich>
      </c:tx>
      <c:overlay val="0"/>
      <c:spPr>
        <a:noFill/>
        <a:ln w="25400">
          <a:noFill/>
        </a:ln>
      </c:spPr>
    </c:title>
    <c:autoTitleDeleted val="0"/>
    <c:plotArea>
      <c:layout/>
      <c:lineChart>
        <c:grouping val="standard"/>
        <c:varyColors val="0"/>
        <c:ser>
          <c:idx val="0"/>
          <c:order val="0"/>
          <c:spPr>
            <a:ln w="28575" cap="rnd">
              <a:solidFill>
                <a:schemeClr val="accent1"/>
              </a:solidFill>
              <a:round/>
            </a:ln>
            <a:effectLst/>
          </c:spPr>
          <c:marker>
            <c:symbol val="none"/>
          </c:marker>
          <c:cat>
            <c:multiLvlStrRef>
              <c:f>'1999-2017 G'!$AJ$21:$AK$70</c:f>
              <c:multiLvlStrCache>
                <c:ptCount val="50"/>
                <c:lvl>
                  <c:pt idx="0">
                    <c:v>იან</c:v>
                  </c:pt>
                  <c:pt idx="1">
                    <c:v>თებ</c:v>
                  </c:pt>
                  <c:pt idx="2">
                    <c:v>მარ</c:v>
                  </c:pt>
                  <c:pt idx="3">
                    <c:v>აპრ</c:v>
                  </c:pt>
                  <c:pt idx="4">
                    <c:v>მაი</c:v>
                  </c:pt>
                  <c:pt idx="5">
                    <c:v>ივნ</c:v>
                  </c:pt>
                  <c:pt idx="6">
                    <c:v>ივლ</c:v>
                  </c:pt>
                  <c:pt idx="7">
                    <c:v>აგვ</c:v>
                  </c:pt>
                  <c:pt idx="8">
                    <c:v>სექ</c:v>
                  </c:pt>
                  <c:pt idx="9">
                    <c:v>ოქტ</c:v>
                  </c:pt>
                  <c:pt idx="10">
                    <c:v>ნოე</c:v>
                  </c:pt>
                  <c:pt idx="11">
                    <c:v>დეკ</c:v>
                  </c:pt>
                  <c:pt idx="12">
                    <c:v>იან</c:v>
                  </c:pt>
                  <c:pt idx="13">
                    <c:v>თებ</c:v>
                  </c:pt>
                  <c:pt idx="14">
                    <c:v>მარ</c:v>
                  </c:pt>
                  <c:pt idx="15">
                    <c:v>აპრ</c:v>
                  </c:pt>
                  <c:pt idx="16">
                    <c:v>მაი</c:v>
                  </c:pt>
                  <c:pt idx="17">
                    <c:v>ივნ</c:v>
                  </c:pt>
                  <c:pt idx="18">
                    <c:v>ივლ</c:v>
                  </c:pt>
                  <c:pt idx="19">
                    <c:v>აგვ</c:v>
                  </c:pt>
                  <c:pt idx="20">
                    <c:v>სექ</c:v>
                  </c:pt>
                  <c:pt idx="21">
                    <c:v>ოქტ</c:v>
                  </c:pt>
                  <c:pt idx="22">
                    <c:v>ნოე</c:v>
                  </c:pt>
                  <c:pt idx="23">
                    <c:v>დეკ</c:v>
                  </c:pt>
                  <c:pt idx="24">
                    <c:v>იან</c:v>
                  </c:pt>
                  <c:pt idx="25">
                    <c:v>თებ</c:v>
                  </c:pt>
                  <c:pt idx="26">
                    <c:v>მარ</c:v>
                  </c:pt>
                  <c:pt idx="27">
                    <c:v>აპრ</c:v>
                  </c:pt>
                  <c:pt idx="28">
                    <c:v>მაი</c:v>
                  </c:pt>
                  <c:pt idx="29">
                    <c:v>ივნ</c:v>
                  </c:pt>
                  <c:pt idx="30">
                    <c:v>ივლ</c:v>
                  </c:pt>
                  <c:pt idx="31">
                    <c:v>აგვ</c:v>
                  </c:pt>
                  <c:pt idx="32">
                    <c:v>სექ</c:v>
                  </c:pt>
                  <c:pt idx="33">
                    <c:v>ოქტ</c:v>
                  </c:pt>
                  <c:pt idx="34">
                    <c:v>ნოე</c:v>
                  </c:pt>
                  <c:pt idx="35">
                    <c:v>დეკ</c:v>
                  </c:pt>
                  <c:pt idx="36">
                    <c:v>იან</c:v>
                  </c:pt>
                  <c:pt idx="37">
                    <c:v>თებ</c:v>
                  </c:pt>
                  <c:pt idx="38">
                    <c:v>მარ</c:v>
                  </c:pt>
                  <c:pt idx="39">
                    <c:v>აპრ</c:v>
                  </c:pt>
                  <c:pt idx="40">
                    <c:v>მაი</c:v>
                  </c:pt>
                  <c:pt idx="41">
                    <c:v>ივნ</c:v>
                  </c:pt>
                  <c:pt idx="42">
                    <c:v>ივლ</c:v>
                  </c:pt>
                  <c:pt idx="43">
                    <c:v>აგვ</c:v>
                  </c:pt>
                  <c:pt idx="44">
                    <c:v>სექ</c:v>
                  </c:pt>
                  <c:pt idx="45">
                    <c:v>ოქტ</c:v>
                  </c:pt>
                  <c:pt idx="46">
                    <c:v>ნოე</c:v>
                  </c:pt>
                  <c:pt idx="47">
                    <c:v>დეკ</c:v>
                  </c:pt>
                  <c:pt idx="48">
                    <c:v>იან</c:v>
                  </c:pt>
                  <c:pt idx="49">
                    <c:v>თებ</c:v>
                  </c:pt>
                </c:lvl>
                <c:lvl>
                  <c:pt idx="0">
                    <c:v>2014</c:v>
                  </c:pt>
                  <c:pt idx="12">
                    <c:v>2015</c:v>
                  </c:pt>
                  <c:pt idx="24">
                    <c:v>2016</c:v>
                  </c:pt>
                  <c:pt idx="36">
                    <c:v>2017</c:v>
                  </c:pt>
                  <c:pt idx="48">
                    <c:v>2018</c:v>
                  </c:pt>
                </c:lvl>
              </c:multiLvlStrCache>
            </c:multiLvlStrRef>
          </c:cat>
          <c:val>
            <c:numRef>
              <c:f>'1999-2017 G'!$AL$21:$AL$70</c:f>
              <c:numCache>
                <c:formatCode>0%</c:formatCode>
                <c:ptCount val="50"/>
                <c:pt idx="0">
                  <c:v>4.5035985279962443E-2</c:v>
                </c:pt>
                <c:pt idx="1">
                  <c:v>1.014447503749949E-2</c:v>
                </c:pt>
                <c:pt idx="2">
                  <c:v>6.9448416743590036E-2</c:v>
                </c:pt>
                <c:pt idx="3">
                  <c:v>-1.5150254964271581E-2</c:v>
                </c:pt>
                <c:pt idx="4">
                  <c:v>0.10192595998979037</c:v>
                </c:pt>
                <c:pt idx="5">
                  <c:v>4.4100415471581167E-2</c:v>
                </c:pt>
                <c:pt idx="6">
                  <c:v>3.8145896188699346E-3</c:v>
                </c:pt>
                <c:pt idx="7">
                  <c:v>8.9860715526350887E-3</c:v>
                </c:pt>
                <c:pt idx="8">
                  <c:v>7.4959659603206497E-3</c:v>
                </c:pt>
                <c:pt idx="9">
                  <c:v>-6.527486823238926E-2</c:v>
                </c:pt>
                <c:pt idx="10">
                  <c:v>-0.16174962444847296</c:v>
                </c:pt>
                <c:pt idx="11">
                  <c:v>-0.24891582174584137</c:v>
                </c:pt>
                <c:pt idx="12">
                  <c:v>-0.23323721678409359</c:v>
                </c:pt>
                <c:pt idx="13">
                  <c:v>-0.21684868007233549</c:v>
                </c:pt>
                <c:pt idx="14">
                  <c:v>-0.23721239974902764</c:v>
                </c:pt>
                <c:pt idx="15">
                  <c:v>-0.24407449273746751</c:v>
                </c:pt>
                <c:pt idx="16">
                  <c:v>-0.22721445848473498</c:v>
                </c:pt>
                <c:pt idx="17">
                  <c:v>-0.20768895507797625</c:v>
                </c:pt>
                <c:pt idx="18">
                  <c:v>-0.3335650954542082</c:v>
                </c:pt>
                <c:pt idx="19">
                  <c:v>-0.35104468212918771</c:v>
                </c:pt>
                <c:pt idx="20">
                  <c:v>-0.3293669291845811</c:v>
                </c:pt>
                <c:pt idx="21">
                  <c:v>-0.27419588616572244</c:v>
                </c:pt>
                <c:pt idx="22">
                  <c:v>-0.18308548361195409</c:v>
                </c:pt>
                <c:pt idx="23">
                  <c:v>-0.12198916649232239</c:v>
                </c:pt>
                <c:pt idx="24">
                  <c:v>-0.11789676052599218</c:v>
                </c:pt>
                <c:pt idx="25">
                  <c:v>-2.5989913148005805E-2</c:v>
                </c:pt>
                <c:pt idx="26">
                  <c:v>-1.3403955038479798E-2</c:v>
                </c:pt>
                <c:pt idx="27">
                  <c:v>4.0414497590054888E-2</c:v>
                </c:pt>
                <c:pt idx="28">
                  <c:v>-4.9312490852546298E-2</c:v>
                </c:pt>
                <c:pt idx="29">
                  <c:v>5.8044617672026178E-4</c:v>
                </c:pt>
                <c:pt idx="30">
                  <c:v>0.10358917031103831</c:v>
                </c:pt>
                <c:pt idx="31">
                  <c:v>0.25313828391708948</c:v>
                </c:pt>
                <c:pt idx="32">
                  <c:v>0.13070931199820479</c:v>
                </c:pt>
                <c:pt idx="33">
                  <c:v>0.13973150168148574</c:v>
                </c:pt>
                <c:pt idx="34">
                  <c:v>0.14794039416764582</c:v>
                </c:pt>
                <c:pt idx="35">
                  <c:v>0.1672562474073862</c:v>
                </c:pt>
                <c:pt idx="36">
                  <c:v>0.26107589432529177</c:v>
                </c:pt>
                <c:pt idx="37">
                  <c:v>0.17855060413189872</c:v>
                </c:pt>
                <c:pt idx="38">
                  <c:v>0.23477882970857911</c:v>
                </c:pt>
                <c:pt idx="39">
                  <c:v>0.11637498376062649</c:v>
                </c:pt>
                <c:pt idx="40">
                  <c:v>0.24201528275787898</c:v>
                </c:pt>
                <c:pt idx="41">
                  <c:v>0.17136257173773251</c:v>
                </c:pt>
                <c:pt idx="42">
                  <c:v>0.20074951418943776</c:v>
                </c:pt>
                <c:pt idx="43">
                  <c:v>0.15078290271905814</c:v>
                </c:pt>
                <c:pt idx="44">
                  <c:v>0.24174907905784671</c:v>
                </c:pt>
                <c:pt idx="45">
                  <c:v>0.19987368261878635</c:v>
                </c:pt>
                <c:pt idx="46">
                  <c:v>0.248</c:v>
                </c:pt>
                <c:pt idx="47">
                  <c:v>0.16300000000000001</c:v>
                </c:pt>
                <c:pt idx="48">
                  <c:v>0.311</c:v>
                </c:pt>
                <c:pt idx="49">
                  <c:v>0.21</c:v>
                </c:pt>
              </c:numCache>
            </c:numRef>
          </c:val>
          <c:smooth val="0"/>
          <c:extLst xmlns:c16r2="http://schemas.microsoft.com/office/drawing/2015/06/chart">
            <c:ext xmlns:c16="http://schemas.microsoft.com/office/drawing/2014/chart" uri="{C3380CC4-5D6E-409C-BE32-E72D297353CC}">
              <c16:uniqueId val="{00000000-0137-49CB-AED9-FFA5694885E8}"/>
            </c:ext>
          </c:extLst>
        </c:ser>
        <c:dLbls>
          <c:showLegendKey val="0"/>
          <c:showVal val="0"/>
          <c:showCatName val="0"/>
          <c:showSerName val="0"/>
          <c:showPercent val="0"/>
          <c:showBubbleSize val="0"/>
        </c:dLbls>
        <c:smooth val="0"/>
        <c:axId val="-1505182496"/>
        <c:axId val="-1505181952"/>
      </c:lineChart>
      <c:catAx>
        <c:axId val="-150518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505181952"/>
        <c:crosses val="autoZero"/>
        <c:auto val="1"/>
        <c:lblAlgn val="ctr"/>
        <c:lblOffset val="100"/>
        <c:tickLblSkip val="1"/>
        <c:noMultiLvlLbl val="0"/>
      </c:catAx>
      <c:valAx>
        <c:axId val="-1505181952"/>
        <c:scaling>
          <c:orientation val="minMax"/>
        </c:scaling>
        <c:delete val="0"/>
        <c:axPos val="l"/>
        <c:numFmt formatCode="0%"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5182496"/>
        <c:crossesAt val="1"/>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018911492368407E-2"/>
          <c:y val="0.16772116968525"/>
          <c:w val="0.94806260148467802"/>
          <c:h val="0.56650868079692296"/>
        </c:manualLayout>
      </c:layout>
      <c:barChart>
        <c:barDir val="col"/>
        <c:grouping val="stacked"/>
        <c:varyColors val="0"/>
        <c:ser>
          <c:idx val="1"/>
          <c:order val="1"/>
          <c:tx>
            <c:strRef>
              <c:f>Sheet1!$C$1</c:f>
              <c:strCache>
                <c:ptCount val="1"/>
                <c:pt idx="0">
                  <c:v>პირდაპირი უცხოური ინვესტიციებით დაფინანსებული დეფიციტი (%)</c:v>
                </c:pt>
              </c:strCache>
            </c:strRef>
          </c:tx>
          <c:spPr>
            <a:solidFill>
              <a:schemeClr val="tx2"/>
            </a:solidFill>
            <a:ln>
              <a:noFill/>
            </a:ln>
            <a:effectLst>
              <a:outerShdw blurRad="57150" dist="19050" dir="5400000" algn="ctr" rotWithShape="0">
                <a:srgbClr val="000000">
                  <a:alpha val="63000"/>
                </a:srgbClr>
              </a:outerShdw>
            </a:effectLst>
          </c:spPr>
          <c:invertIfNegative val="0"/>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Sheet1!$C$2:$C$10</c:f>
              <c:numCache>
                <c:formatCode>0.0%</c:formatCode>
                <c:ptCount val="9"/>
                <c:pt idx="0">
                  <c:v>6.3E-2</c:v>
                </c:pt>
                <c:pt idx="1">
                  <c:v>5.8000000000000003E-2</c:v>
                </c:pt>
                <c:pt idx="2">
                  <c:v>6.2E-2</c:v>
                </c:pt>
                <c:pt idx="3">
                  <c:v>3.9E-2</c:v>
                </c:pt>
                <c:pt idx="4">
                  <c:v>5.0999999999999997E-2</c:v>
                </c:pt>
                <c:pt idx="5">
                  <c:v>8.2166409397652088E-2</c:v>
                </c:pt>
                <c:pt idx="6">
                  <c:v>9.6035488541745054E-2</c:v>
                </c:pt>
                <c:pt idx="7">
                  <c:v>8.3160694178030029E-2</c:v>
                </c:pt>
                <c:pt idx="8">
                  <c:v>0.10510070682277844</c:v>
                </c:pt>
              </c:numCache>
            </c:numRef>
          </c:val>
          <c:extLst xmlns:c16r2="http://schemas.microsoft.com/office/drawing/2015/06/chart">
            <c:ext xmlns:c16="http://schemas.microsoft.com/office/drawing/2014/chart" uri="{C3380CC4-5D6E-409C-BE32-E72D297353CC}">
              <c16:uniqueId val="{0000000B-E092-49B6-9F44-B909C2712EE9}"/>
            </c:ext>
          </c:extLst>
        </c:ser>
        <c:ser>
          <c:idx val="2"/>
          <c:order val="2"/>
          <c:tx>
            <c:strRef>
              <c:f>Sheet1!$D$1</c:f>
              <c:strCache>
                <c:ptCount val="1"/>
                <c:pt idx="0">
                  <c:v>ვალით დაფინანსებული დეფიციტი (%)</c:v>
                </c:pt>
              </c:strCache>
            </c:strRef>
          </c:tx>
          <c:spPr>
            <a:ln w="28575" cap="rnd">
              <a:noFill/>
              <a:round/>
            </a:ln>
            <a:effectLst/>
          </c:spPr>
          <c:invertIfNegative val="0"/>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Sheet1!$D$2:$D$10</c:f>
              <c:numCache>
                <c:formatCode>0.0%</c:formatCode>
                <c:ptCount val="9"/>
                <c:pt idx="0">
                  <c:v>4.1999999999999996E-2</c:v>
                </c:pt>
                <c:pt idx="1">
                  <c:v>4.4999999999999991E-2</c:v>
                </c:pt>
                <c:pt idx="2">
                  <c:v>6.6000000000000003E-2</c:v>
                </c:pt>
                <c:pt idx="3">
                  <c:v>7.8000000000000014E-2</c:v>
                </c:pt>
                <c:pt idx="4">
                  <c:v>7.0000000000000062E-3</c:v>
                </c:pt>
                <c:pt idx="5">
                  <c:v>2.5020749302047604E-2</c:v>
                </c:pt>
                <c:pt idx="6">
                  <c:v>2.5183535930518669E-2</c:v>
                </c:pt>
                <c:pt idx="7">
                  <c:v>4.5329117454944653E-2</c:v>
                </c:pt>
                <c:pt idx="8">
                  <c:v>-1.831171165235293E-2</c:v>
                </c:pt>
              </c:numCache>
            </c:numRef>
          </c:val>
          <c:extLst xmlns:c16r2="http://schemas.microsoft.com/office/drawing/2015/06/chart">
            <c:ext xmlns:c16="http://schemas.microsoft.com/office/drawing/2014/chart" uri="{C3380CC4-5D6E-409C-BE32-E72D297353CC}">
              <c16:uniqueId val="{0000000C-E092-49B6-9F44-B909C2712EE9}"/>
            </c:ext>
          </c:extLst>
        </c:ser>
        <c:dLbls>
          <c:showLegendKey val="0"/>
          <c:showVal val="0"/>
          <c:showCatName val="0"/>
          <c:showSerName val="0"/>
          <c:showPercent val="0"/>
          <c:showBubbleSize val="0"/>
        </c:dLbls>
        <c:gapWidth val="219"/>
        <c:overlap val="100"/>
        <c:axId val="-1505181408"/>
        <c:axId val="-1505180864"/>
      </c:barChart>
      <c:lineChart>
        <c:grouping val="standard"/>
        <c:varyColors val="0"/>
        <c:ser>
          <c:idx val="0"/>
          <c:order val="0"/>
          <c:tx>
            <c:strRef>
              <c:f>Sheet1!$B$1</c:f>
              <c:strCache>
                <c:ptCount val="1"/>
                <c:pt idx="0">
                  <c:v>მიმდინარე ანგარიშის დეფიციტი (% მშპ)</c:v>
                </c:pt>
              </c:strCache>
            </c:strRef>
          </c:tx>
          <c:spPr>
            <a:effectLst/>
          </c:spPr>
          <c:marker>
            <c:symbol val="none"/>
          </c:marker>
          <c:dLbls>
            <c:dLbl>
              <c:idx val="8"/>
              <c:layout>
                <c:manualLayout>
                  <c:x val="-3.1300357841536043E-2"/>
                  <c:y val="-7.905720948228084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FA7-46BF-953B-3B57910F5F62}"/>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Sheet1!$B$2:$B$10</c:f>
              <c:numCache>
                <c:formatCode>0.0%</c:formatCode>
                <c:ptCount val="9"/>
                <c:pt idx="0">
                  <c:v>0.105</c:v>
                </c:pt>
                <c:pt idx="1">
                  <c:v>0.10299999999999999</c:v>
                </c:pt>
                <c:pt idx="2">
                  <c:v>0.128</c:v>
                </c:pt>
                <c:pt idx="3">
                  <c:v>0.11700000000000001</c:v>
                </c:pt>
                <c:pt idx="4">
                  <c:v>5.8000000000000003E-2</c:v>
                </c:pt>
                <c:pt idx="5">
                  <c:v>0.10718715869969969</c:v>
                </c:pt>
                <c:pt idx="6">
                  <c:v>0.12121902447226372</c:v>
                </c:pt>
                <c:pt idx="7">
                  <c:v>0.12848981163297468</c:v>
                </c:pt>
                <c:pt idx="8">
                  <c:v>8.6788995170425515E-2</c:v>
                </c:pt>
              </c:numCache>
            </c:numRef>
          </c:val>
          <c:smooth val="0"/>
          <c:extLst xmlns:c16r2="http://schemas.microsoft.com/office/drawing/2015/06/chart">
            <c:ext xmlns:c16="http://schemas.microsoft.com/office/drawing/2014/chart" uri="{C3380CC4-5D6E-409C-BE32-E72D297353CC}">
              <c16:uniqueId val="{00000002-E092-49B6-9F44-B909C2712EE9}"/>
            </c:ext>
          </c:extLst>
        </c:ser>
        <c:dLbls>
          <c:showLegendKey val="0"/>
          <c:showVal val="0"/>
          <c:showCatName val="0"/>
          <c:showSerName val="0"/>
          <c:showPercent val="0"/>
          <c:showBubbleSize val="0"/>
        </c:dLbls>
        <c:marker val="1"/>
        <c:smooth val="0"/>
        <c:axId val="-1505181408"/>
        <c:axId val="-1505180864"/>
      </c:lineChart>
      <c:catAx>
        <c:axId val="-1505181408"/>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5180864"/>
        <c:crosses val="autoZero"/>
        <c:auto val="1"/>
        <c:lblAlgn val="ctr"/>
        <c:lblOffset val="100"/>
        <c:noMultiLvlLbl val="0"/>
      </c:catAx>
      <c:valAx>
        <c:axId val="-1505180864"/>
        <c:scaling>
          <c:orientation val="minMax"/>
        </c:scaling>
        <c:delete val="0"/>
        <c:axPos val="l"/>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5181408"/>
        <c:crosses val="autoZero"/>
        <c:crossBetween val="between"/>
      </c:valAx>
      <c:spPr>
        <a:noFill/>
        <a:ln>
          <a:noFill/>
        </a:ln>
        <a:effectLst/>
      </c:spPr>
    </c:plotArea>
    <c:legend>
      <c:legendPos val="b"/>
      <c:layout>
        <c:manualLayout>
          <c:xMode val="edge"/>
          <c:yMode val="edge"/>
          <c:x val="0"/>
          <c:y val="0.83197465485353705"/>
          <c:w val="1"/>
          <c:h val="0.16802534514646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rot="5400000" vert="horz"/>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0.92747</cdr:x>
      <cdr:y>0.15461</cdr:y>
    </cdr:from>
    <cdr:to>
      <cdr:x>1</cdr:x>
      <cdr:y>0.27973</cdr:y>
    </cdr:to>
    <cdr:sp macro="" textlink="">
      <cdr:nvSpPr>
        <cdr:cNvPr id="2" name="Rectangle 1"/>
        <cdr:cNvSpPr/>
      </cdr:nvSpPr>
      <cdr:spPr>
        <a:xfrm xmlns:a="http://schemas.openxmlformats.org/drawingml/2006/main">
          <a:off x="5565515" y="351972"/>
          <a:ext cx="435235" cy="284833"/>
        </a:xfrm>
        <a:prstGeom xmlns:a="http://schemas.openxmlformats.org/drawingml/2006/main" prst="rect">
          <a:avLst/>
        </a:prstGeom>
        <a:pattFill xmlns:a="http://schemas.openxmlformats.org/drawingml/2006/main" prst="pct10">
          <a:fgClr>
            <a:schemeClr val="bg1"/>
          </a:fgClr>
          <a:bgClr>
            <a:schemeClr val="bg1"/>
          </a:bgClr>
        </a:patt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1400" dirty="0" smtClean="0">
              <a:solidFill>
                <a:schemeClr val="tx1"/>
              </a:solidFill>
            </a:rPr>
            <a:t>39</a:t>
          </a:r>
          <a:endParaRPr lang="ka-GE" sz="1400" dirty="0" smtClean="0">
            <a:solidFill>
              <a:schemeClr val="tx1"/>
            </a:solidFill>
          </a:endParaRPr>
        </a:p>
        <a:p xmlns:a="http://schemas.openxmlformats.org/drawingml/2006/main">
          <a:pPr algn="ctr"/>
          <a:r>
            <a:rPr lang="ka-GE" sz="700" dirty="0" smtClean="0">
              <a:solidFill>
                <a:schemeClr val="tx1"/>
              </a:solidFill>
            </a:rPr>
            <a:t>ათასი</a:t>
          </a:r>
          <a:endParaRPr lang="en-US" sz="700" dirty="0">
            <a:solidFill>
              <a:schemeClr val="tx1"/>
            </a:solidFill>
          </a:endParaRPr>
        </a:p>
      </cdr:txBody>
    </cdr:sp>
  </cdr:relSizeAnchor>
  <cdr:relSizeAnchor xmlns:cdr="http://schemas.openxmlformats.org/drawingml/2006/chartDrawing">
    <cdr:from>
      <cdr:x>0.9331</cdr:x>
      <cdr:y>0.12576</cdr:y>
    </cdr:from>
    <cdr:to>
      <cdr:x>0.93379</cdr:x>
      <cdr:y>0.32134</cdr:y>
    </cdr:to>
    <cdr:cxnSp macro="">
      <cdr:nvCxnSpPr>
        <cdr:cNvPr id="3" name="Straight Arrow Connector 2"/>
        <cdr:cNvCxnSpPr/>
      </cdr:nvCxnSpPr>
      <cdr:spPr>
        <a:xfrm xmlns:a="http://schemas.openxmlformats.org/drawingml/2006/main" flipH="1" flipV="1">
          <a:off x="5599275" y="286280"/>
          <a:ext cx="4169" cy="445239"/>
        </a:xfrm>
        <a:prstGeom xmlns:a="http://schemas.openxmlformats.org/drawingml/2006/main" prst="straightConnector1">
          <a:avLst/>
        </a:prstGeom>
        <a:ln xmlns:a="http://schemas.openxmlformats.org/drawingml/2006/main" w="381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0.0276</cdr:x>
      <cdr:y>0.30528</cdr:y>
    </cdr:from>
    <cdr:to>
      <cdr:x>0.06656</cdr:x>
      <cdr:y>0.6963</cdr:y>
    </cdr:to>
    <cdr:sp macro="" textlink="">
      <cdr:nvSpPr>
        <cdr:cNvPr id="2" name="TextBox 1"/>
        <cdr:cNvSpPr txBox="1"/>
      </cdr:nvSpPr>
      <cdr:spPr>
        <a:xfrm xmlns:a="http://schemas.openxmlformats.org/drawingml/2006/main">
          <a:off x="140045" y="662460"/>
          <a:ext cx="197708" cy="84849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0.05032</cdr:x>
      <cdr:y>0.54445</cdr:y>
    </cdr:from>
    <cdr:to>
      <cdr:x>0.23052</cdr:x>
      <cdr:y>0.96583</cdr:y>
    </cdr:to>
    <cdr:sp macro="" textlink="">
      <cdr:nvSpPr>
        <cdr:cNvPr id="3" name="TextBox 2"/>
        <cdr:cNvSpPr txBox="1"/>
      </cdr:nvSpPr>
      <cdr:spPr>
        <a:xfrm xmlns:a="http://schemas.openxmlformats.org/drawingml/2006/main">
          <a:off x="255374" y="118144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cdr:x>
      <cdr:y>0.34437</cdr:y>
    </cdr:from>
    <cdr:to>
      <cdr:x>0.07892</cdr:x>
      <cdr:y>0.62528</cdr:y>
    </cdr:to>
    <cdr:sp macro="" textlink="">
      <cdr:nvSpPr>
        <cdr:cNvPr id="5" name="TextBox 4"/>
        <cdr:cNvSpPr txBox="1"/>
      </cdr:nvSpPr>
      <cdr:spPr>
        <a:xfrm xmlns:a="http://schemas.openxmlformats.org/drawingml/2006/main">
          <a:off x="0" y="675503"/>
          <a:ext cx="341968" cy="551039"/>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endParaRPr lang="en-US" sz="800" dirty="0"/>
        </a:p>
      </cdr:txBody>
    </cdr:sp>
  </cdr:relSizeAnchor>
  <cdr:relSizeAnchor xmlns:cdr="http://schemas.openxmlformats.org/drawingml/2006/chartDrawing">
    <cdr:from>
      <cdr:x>0.29612</cdr:x>
      <cdr:y>0</cdr:y>
    </cdr:from>
    <cdr:to>
      <cdr:x>0.71623</cdr:x>
      <cdr:y>0.13402</cdr:y>
    </cdr:to>
    <cdr:sp macro="" textlink="">
      <cdr:nvSpPr>
        <cdr:cNvPr id="4" name="TextBox 3"/>
        <cdr:cNvSpPr txBox="1"/>
      </cdr:nvSpPr>
      <cdr:spPr>
        <a:xfrm xmlns:a="http://schemas.openxmlformats.org/drawingml/2006/main">
          <a:off x="2004647" y="0"/>
          <a:ext cx="2844072" cy="31811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ka-GE" sz="1100" b="1" dirty="0" smtClean="0">
              <a:solidFill>
                <a:schemeClr val="tx1">
                  <a:lumMod val="65000"/>
                  <a:lumOff val="35000"/>
                </a:schemeClr>
              </a:solidFill>
              <a:latin typeface="Sylfaen" panose="010A0502050306030303" pitchFamily="18" charset="0"/>
            </a:rPr>
            <a:t>მიმდინარე ანგარიშის დეფიციტი</a:t>
          </a:r>
          <a:endParaRPr lang="en-US" sz="1100" b="1" dirty="0">
            <a:solidFill>
              <a:schemeClr val="tx1">
                <a:lumMod val="65000"/>
                <a:lumOff val="35000"/>
              </a:schemeClr>
            </a:solidFill>
            <a:latin typeface="Sylfaen" panose="010A0502050306030303"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A7A9D-664F-44AC-9ECD-95E3B764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3661</Words>
  <Characters>20870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Chapidze</dc:creator>
  <cp:keywords/>
  <dc:description/>
  <cp:lastModifiedBy>Ekaterine Mikabadze</cp:lastModifiedBy>
  <cp:revision>2</cp:revision>
  <dcterms:created xsi:type="dcterms:W3CDTF">2018-04-11T12:14:00Z</dcterms:created>
  <dcterms:modified xsi:type="dcterms:W3CDTF">2018-04-11T12:14:00Z</dcterms:modified>
</cp:coreProperties>
</file>